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FF" w:rsidRPr="006267BC" w:rsidRDefault="00025696" w:rsidP="006267BC">
      <w:pPr>
        <w:spacing w:line="360" w:lineRule="auto"/>
        <w:jc w:val="right"/>
        <w:rPr>
          <w:rFonts w:asciiTheme="minorHAnsi" w:hAnsiTheme="minorHAnsi" w:cstheme="minorHAnsi"/>
          <w:b/>
          <w:sz w:val="22"/>
          <w:szCs w:val="22"/>
        </w:rPr>
      </w:pPr>
      <w:r>
        <w:rPr>
          <w:rFonts w:asciiTheme="minorHAnsi" w:hAnsiTheme="minorHAnsi" w:cstheme="minorHAnsi"/>
          <w:b/>
          <w:color w:val="000000"/>
          <w:sz w:val="22"/>
          <w:szCs w:val="22"/>
        </w:rPr>
        <w:t xml:space="preserve">ΔΕΛΤΙΟ </w:t>
      </w:r>
      <w:bookmarkStart w:id="0" w:name="_GoBack"/>
      <w:bookmarkEnd w:id="0"/>
      <w:r w:rsidR="00A078FF" w:rsidRPr="006267BC">
        <w:rPr>
          <w:rFonts w:asciiTheme="minorHAnsi" w:hAnsiTheme="minorHAnsi" w:cstheme="minorHAnsi"/>
          <w:b/>
          <w:color w:val="000000"/>
          <w:sz w:val="22"/>
          <w:szCs w:val="22"/>
        </w:rPr>
        <w:t>2</w:t>
      </w:r>
    </w:p>
    <w:p w:rsidR="00A078FF" w:rsidRPr="006267BC" w:rsidRDefault="00A078FF" w:rsidP="00A078FF">
      <w:pPr>
        <w:spacing w:line="360" w:lineRule="auto"/>
        <w:jc w:val="both"/>
        <w:rPr>
          <w:rFonts w:asciiTheme="minorHAnsi" w:hAnsiTheme="minorHAnsi" w:cstheme="minorHAnsi"/>
          <w:b/>
          <w:sz w:val="22"/>
          <w:szCs w:val="22"/>
          <w:highlight w:val="yellow"/>
          <w:u w:val="single"/>
        </w:rPr>
      </w:pPr>
    </w:p>
    <w:p w:rsidR="00A078FF" w:rsidRPr="005B086E" w:rsidRDefault="00A078FF" w:rsidP="00A078FF">
      <w:pPr>
        <w:spacing w:line="360" w:lineRule="auto"/>
        <w:jc w:val="both"/>
        <w:rPr>
          <w:rFonts w:asciiTheme="minorHAnsi" w:hAnsiTheme="minorHAnsi" w:cstheme="minorHAnsi"/>
          <w:b/>
          <w:color w:val="F2F2F2" w:themeColor="background1" w:themeShade="F2"/>
          <w:sz w:val="22"/>
          <w:szCs w:val="22"/>
        </w:rPr>
      </w:pPr>
      <w:r w:rsidRPr="005B086E">
        <w:rPr>
          <w:rFonts w:asciiTheme="minorHAnsi" w:hAnsiTheme="minorHAnsi" w:cstheme="minorHAnsi"/>
          <w:b/>
          <w:color w:val="F2F2F2" w:themeColor="background1" w:themeShade="F2"/>
          <w:sz w:val="22"/>
          <w:szCs w:val="22"/>
          <w:highlight w:val="darkGreen"/>
        </w:rPr>
        <w:t>ΝΟΜΙΚΟ ΚΑΙ ΡΥΘΜΙΣΤΙΚΟ ΠΛΑΙΣΙΟ</w:t>
      </w:r>
    </w:p>
    <w:p w:rsidR="00A078FF" w:rsidRPr="005B086E" w:rsidRDefault="00A078FF" w:rsidP="00A078FF">
      <w:pPr>
        <w:autoSpaceDE w:val="0"/>
        <w:autoSpaceDN w:val="0"/>
        <w:adjustRightInd w:val="0"/>
        <w:spacing w:line="360" w:lineRule="auto"/>
        <w:jc w:val="both"/>
        <w:rPr>
          <w:rFonts w:asciiTheme="minorHAnsi" w:hAnsiTheme="minorHAnsi" w:cstheme="minorHAnsi"/>
          <w:b/>
          <w:color w:val="FFFFFF" w:themeColor="background1"/>
          <w:sz w:val="22"/>
          <w:szCs w:val="22"/>
        </w:rPr>
      </w:pPr>
      <w:r w:rsidRPr="00182E11">
        <w:rPr>
          <w:rFonts w:asciiTheme="minorHAnsi" w:hAnsiTheme="minorHAnsi" w:cstheme="minorHAnsi"/>
          <w:b/>
          <w:color w:val="FFFFFF" w:themeColor="background1"/>
          <w:sz w:val="22"/>
          <w:szCs w:val="22"/>
          <w:highlight w:val="darkGray"/>
        </w:rPr>
        <w:t>Ποια νομοθεσία, ποιες συμβάσεις, κανονιστικά πλαίσια, πρότυπα και οδηγίες για ορθές πρακτικές μπορούν να βοηθήσουν στην πρόληψη και την καταπολέμηση της σεξουαλικής βίας εναντίον παιδιών και νέων ατόμων;</w:t>
      </w:r>
    </w:p>
    <w:p w:rsidR="00A078FF" w:rsidRPr="00182E11" w:rsidRDefault="00A078FF" w:rsidP="00A078FF">
      <w:pPr>
        <w:numPr>
          <w:ilvl w:val="0"/>
          <w:numId w:val="1"/>
        </w:numPr>
        <w:autoSpaceDE w:val="0"/>
        <w:autoSpaceDN w:val="0"/>
        <w:adjustRightInd w:val="0"/>
        <w:spacing w:line="360" w:lineRule="auto"/>
        <w:jc w:val="both"/>
        <w:rPr>
          <w:rFonts w:asciiTheme="minorHAnsi" w:hAnsiTheme="minorHAnsi" w:cstheme="minorHAnsi"/>
          <w:b/>
          <w:color w:val="005024"/>
          <w:sz w:val="26"/>
          <w:szCs w:val="26"/>
        </w:rPr>
      </w:pPr>
      <w:r w:rsidRPr="00182E11">
        <w:rPr>
          <w:rFonts w:asciiTheme="minorHAnsi" w:hAnsiTheme="minorHAnsi" w:cstheme="minorHAnsi"/>
          <w:b/>
          <w:color w:val="005024"/>
          <w:sz w:val="26"/>
          <w:szCs w:val="26"/>
        </w:rPr>
        <w:t>Η Σύμβαση των Ηνωμένων Εθνών για τα δικαιώματα του παιδιού (1989)</w:t>
      </w:r>
    </w:p>
    <w:p w:rsidR="00A078FF" w:rsidRPr="006267BC" w:rsidRDefault="00A078FF" w:rsidP="005B086E">
      <w:pPr>
        <w:autoSpaceDE w:val="0"/>
        <w:autoSpaceDN w:val="0"/>
        <w:adjustRightInd w:val="0"/>
        <w:jc w:val="both"/>
        <w:rPr>
          <w:rFonts w:asciiTheme="minorHAnsi" w:hAnsiTheme="minorHAnsi" w:cstheme="minorHAnsi"/>
          <w:sz w:val="22"/>
          <w:szCs w:val="22"/>
        </w:rPr>
      </w:pPr>
      <w:r w:rsidRPr="006267BC">
        <w:rPr>
          <w:rFonts w:asciiTheme="minorHAnsi" w:hAnsiTheme="minorHAnsi" w:cstheme="minorHAnsi"/>
          <w:sz w:val="22"/>
          <w:szCs w:val="22"/>
        </w:rPr>
        <w:t xml:space="preserve">Η Σύμβαση των Ηνωμένων Εθνών για τα Δικαιώματα του Παιδιού περιλαμβάνει 54 άρθρα που καλύπτουν όλες τις πτυχές της ζωής των ανηλίκων και καθορίζουν τα αστικά, πολιτικά, οικονομικά, κοινωνικά και πολιτιστικά δικαιώματα τα οποία κάθε παιδί και νεαρό άτομο δικαιούται να απολαμβάνει όπου κι αν βρίσκεται.   </w:t>
      </w:r>
    </w:p>
    <w:p w:rsidR="00A078FF" w:rsidRDefault="00A078FF" w:rsidP="005B086E">
      <w:pPr>
        <w:autoSpaceDE w:val="0"/>
        <w:autoSpaceDN w:val="0"/>
        <w:adjustRightInd w:val="0"/>
        <w:jc w:val="both"/>
        <w:rPr>
          <w:rFonts w:asciiTheme="minorHAnsi" w:eastAsia="Calibri" w:hAnsiTheme="minorHAnsi" w:cstheme="minorHAnsi"/>
          <w:sz w:val="22"/>
          <w:szCs w:val="22"/>
          <w:lang w:eastAsia="en-US"/>
        </w:rPr>
      </w:pPr>
      <w:r w:rsidRPr="006267BC">
        <w:rPr>
          <w:rFonts w:asciiTheme="minorHAnsi" w:eastAsia="Calibri" w:hAnsiTheme="minorHAnsi" w:cstheme="minorHAnsi"/>
          <w:sz w:val="22"/>
          <w:szCs w:val="22"/>
          <w:lang w:eastAsia="en-US"/>
        </w:rPr>
        <w:t xml:space="preserve">Όλες οι χώρες της Ευρώπης έχουν υπογράψει τη Σύμβαση και υποχρεούνται να υποβάλουν έκθεση σχετικά με την εφαρμογή της στην Επιτροπή Δικαιωμάτων του Παιδιού (CRC). </w:t>
      </w:r>
      <w:r w:rsidRPr="006267BC">
        <w:rPr>
          <w:rFonts w:asciiTheme="minorHAnsi" w:hAnsiTheme="minorHAnsi" w:cstheme="minorHAnsi"/>
          <w:sz w:val="22"/>
          <w:szCs w:val="22"/>
        </w:rPr>
        <w:t xml:space="preserve">Κάθε παιδί και νεαρό άτομο έχει δικαιώματα, ανεξαρτήτως εθνικότητας, φύλου, θρησκείας, γλώσσας, ικανοτήτων ή άλλης κατάστασης. Η Σύμβαση πρέπει να θεωρηθεί ως σύνολο: όλα τα δικαιώματα συνδέονται και κανένα δικαίωμα δεν είναι περισσότερο σημαντικό από ένα άλλο. </w:t>
      </w:r>
      <w:r w:rsidRPr="006267BC">
        <w:rPr>
          <w:rFonts w:asciiTheme="minorHAnsi" w:eastAsia="Calibri" w:hAnsiTheme="minorHAnsi" w:cstheme="minorHAnsi"/>
          <w:sz w:val="22"/>
          <w:szCs w:val="22"/>
          <w:lang w:eastAsia="en-US"/>
        </w:rPr>
        <w:t>Το δικαίωμα στην ανάπαυση και το παιχνίδι (άρθρο 31), καθώς και το δικαίωμα της ελευθερίας της έκφρασης (άρθρο 13) είναι εξίσου σημαντικά με τα δικαιώματα προστασίας από κάθε μορφή βίας και εκπαίδευσης (άρθρο 28).</w:t>
      </w:r>
    </w:p>
    <w:p w:rsidR="0021103C" w:rsidRPr="006267BC" w:rsidRDefault="0021103C" w:rsidP="0021103C">
      <w:pPr>
        <w:autoSpaceDE w:val="0"/>
        <w:autoSpaceDN w:val="0"/>
        <w:adjustRightInd w:val="0"/>
        <w:jc w:val="both"/>
        <w:rPr>
          <w:rFonts w:asciiTheme="minorHAnsi" w:eastAsia="Calibri" w:hAnsiTheme="minorHAnsi" w:cstheme="minorHAnsi"/>
          <w:sz w:val="22"/>
          <w:szCs w:val="22"/>
          <w:lang w:eastAsia="en-US"/>
        </w:rPr>
      </w:pPr>
    </w:p>
    <w:p w:rsidR="00A078FF" w:rsidRPr="00182E11" w:rsidRDefault="00A078FF" w:rsidP="0021103C">
      <w:pPr>
        <w:pStyle w:val="a3"/>
        <w:numPr>
          <w:ilvl w:val="0"/>
          <w:numId w:val="1"/>
        </w:numPr>
        <w:spacing w:line="360" w:lineRule="auto"/>
        <w:jc w:val="both"/>
        <w:rPr>
          <w:rFonts w:asciiTheme="minorHAnsi" w:hAnsiTheme="minorHAnsi" w:cstheme="minorHAnsi"/>
          <w:b/>
          <w:color w:val="005024"/>
          <w:sz w:val="26"/>
          <w:szCs w:val="26"/>
        </w:rPr>
      </w:pPr>
      <w:r w:rsidRPr="00182E11">
        <w:rPr>
          <w:rFonts w:asciiTheme="minorHAnsi" w:hAnsiTheme="minorHAnsi" w:cstheme="minorHAnsi"/>
          <w:b/>
          <w:color w:val="005024"/>
          <w:sz w:val="26"/>
          <w:szCs w:val="26"/>
        </w:rPr>
        <w:t xml:space="preserve">Αστικό και ποινικό δίκαιο </w:t>
      </w:r>
    </w:p>
    <w:p w:rsidR="00A078FF" w:rsidRDefault="00A078FF" w:rsidP="005B086E">
      <w:pPr>
        <w:jc w:val="both"/>
        <w:rPr>
          <w:rFonts w:asciiTheme="minorHAnsi" w:hAnsiTheme="minorHAnsi" w:cstheme="minorHAnsi"/>
          <w:sz w:val="22"/>
          <w:szCs w:val="22"/>
        </w:rPr>
      </w:pPr>
      <w:r w:rsidRPr="006267BC">
        <w:rPr>
          <w:rFonts w:asciiTheme="minorHAnsi" w:hAnsiTheme="minorHAnsi" w:cstheme="minorHAnsi"/>
          <w:sz w:val="22"/>
          <w:szCs w:val="22"/>
        </w:rPr>
        <w:t xml:space="preserve">Το αστικό δίκαιο συγκεντρώνει τους νόμους ενός κράτους που ισχύουν για ιδιωτικές υποθέσεις. Το ποινικό δίκαιο είναι ένα σύνολο κανόνων και νόμων που καθορίζονται από τις αρχές ως απαγορευμένες μορφές συμπεριφοράς επειδή υπονομεύουν την ασφάλεια και την ευημερία του πληθυσμού ή αποτελούν απειλή για αυτόν. </w:t>
      </w:r>
      <w:r w:rsidRPr="006267BC">
        <w:rPr>
          <w:rFonts w:asciiTheme="minorHAnsi" w:eastAsia="Calibri" w:hAnsiTheme="minorHAnsi" w:cstheme="minorHAnsi"/>
          <w:sz w:val="22"/>
          <w:szCs w:val="22"/>
          <w:lang w:eastAsia="en-US"/>
        </w:rPr>
        <w:t xml:space="preserve">Προβλέπει επίσης κυρώσεις για παραβάσεις του νόμου. Σε ορισμένες χώρες, υπάρχει η «προθεσμία παραγραφής» που καθορίζει τις προθεσμίες εντός των οποίων ένα θύμα σεξουαλικής βίας μπορεί να υποβάλει καταγγελία. Ανατρέξτε στο </w:t>
      </w:r>
      <w:r w:rsidRPr="006267BC">
        <w:rPr>
          <w:rFonts w:asciiTheme="minorHAnsi" w:hAnsiTheme="minorHAnsi" w:cstheme="minorHAnsi"/>
          <w:sz w:val="22"/>
          <w:szCs w:val="22"/>
        </w:rPr>
        <w:t xml:space="preserve">πλαίσιο </w:t>
      </w:r>
      <w:r w:rsidR="0083716B">
        <w:rPr>
          <w:rFonts w:asciiTheme="minorHAnsi" w:hAnsiTheme="minorHAnsi" w:cstheme="minorHAnsi"/>
          <w:sz w:val="22"/>
          <w:szCs w:val="22"/>
        </w:rPr>
        <w:t xml:space="preserve">της χώρας </w:t>
      </w:r>
      <w:r w:rsidRPr="006267BC">
        <w:rPr>
          <w:rFonts w:asciiTheme="minorHAnsi" w:hAnsiTheme="minorHAnsi" w:cstheme="minorHAnsi"/>
          <w:sz w:val="22"/>
          <w:szCs w:val="22"/>
        </w:rPr>
        <w:t>για περαιτέρω πληροφορίες.</w:t>
      </w:r>
    </w:p>
    <w:p w:rsidR="0021103C" w:rsidRPr="006267BC" w:rsidRDefault="0021103C" w:rsidP="005B086E">
      <w:pPr>
        <w:jc w:val="both"/>
        <w:rPr>
          <w:rFonts w:asciiTheme="minorHAnsi" w:hAnsiTheme="minorHAnsi" w:cstheme="minorHAnsi"/>
          <w:sz w:val="22"/>
          <w:szCs w:val="22"/>
        </w:rPr>
      </w:pPr>
    </w:p>
    <w:p w:rsidR="00A078FF" w:rsidRPr="0083716B" w:rsidRDefault="00A078FF" w:rsidP="005B086E">
      <w:pPr>
        <w:pStyle w:val="a3"/>
        <w:numPr>
          <w:ilvl w:val="0"/>
          <w:numId w:val="1"/>
        </w:numPr>
        <w:spacing w:line="360" w:lineRule="auto"/>
        <w:jc w:val="both"/>
        <w:rPr>
          <w:rFonts w:asciiTheme="minorHAnsi" w:hAnsiTheme="minorHAnsi" w:cstheme="minorHAnsi"/>
          <w:b/>
          <w:color w:val="005024"/>
          <w:sz w:val="26"/>
          <w:szCs w:val="26"/>
          <w:lang w:val="en-US"/>
        </w:rPr>
      </w:pPr>
      <w:r w:rsidRPr="0083716B">
        <w:rPr>
          <w:rFonts w:asciiTheme="minorHAnsi" w:hAnsiTheme="minorHAnsi" w:cstheme="minorHAnsi"/>
          <w:b/>
          <w:color w:val="005024"/>
          <w:sz w:val="26"/>
          <w:szCs w:val="26"/>
          <w:lang w:val="en-US"/>
        </w:rPr>
        <w:t xml:space="preserve">«Safe Sport International» – </w:t>
      </w:r>
      <w:r w:rsidRPr="0083716B">
        <w:rPr>
          <w:rFonts w:asciiTheme="minorHAnsi" w:hAnsiTheme="minorHAnsi" w:cstheme="minorHAnsi"/>
          <w:b/>
          <w:color w:val="005024"/>
          <w:sz w:val="26"/>
          <w:szCs w:val="26"/>
        </w:rPr>
        <w:t>Δήλωση</w:t>
      </w:r>
      <w:r w:rsidRPr="0083716B">
        <w:rPr>
          <w:rFonts w:asciiTheme="minorHAnsi" w:hAnsiTheme="minorHAnsi" w:cstheme="minorHAnsi"/>
          <w:b/>
          <w:color w:val="005024"/>
          <w:sz w:val="26"/>
          <w:szCs w:val="26"/>
          <w:lang w:val="en-US"/>
        </w:rPr>
        <w:t xml:space="preserve"> </w:t>
      </w:r>
      <w:r w:rsidRPr="0083716B">
        <w:rPr>
          <w:rFonts w:asciiTheme="minorHAnsi" w:hAnsiTheme="minorHAnsi" w:cstheme="minorHAnsi"/>
          <w:b/>
          <w:color w:val="005024"/>
          <w:sz w:val="26"/>
          <w:szCs w:val="26"/>
        </w:rPr>
        <w:t>Αρχών</w:t>
      </w:r>
      <w:r w:rsidRPr="0083716B">
        <w:rPr>
          <w:rFonts w:asciiTheme="minorHAnsi" w:hAnsiTheme="minorHAnsi" w:cstheme="minorHAnsi"/>
          <w:b/>
          <w:color w:val="005024"/>
          <w:sz w:val="26"/>
          <w:szCs w:val="26"/>
          <w:lang w:val="en-US"/>
        </w:rPr>
        <w:t xml:space="preserve"> (2014)</w:t>
      </w:r>
    </w:p>
    <w:p w:rsidR="00A078FF" w:rsidRDefault="00A078FF" w:rsidP="005B086E">
      <w:pPr>
        <w:jc w:val="both"/>
        <w:rPr>
          <w:rFonts w:asciiTheme="minorHAnsi" w:hAnsiTheme="minorHAnsi" w:cstheme="minorHAnsi"/>
          <w:sz w:val="22"/>
          <w:szCs w:val="22"/>
        </w:rPr>
      </w:pPr>
      <w:r w:rsidRPr="006267BC">
        <w:rPr>
          <w:rFonts w:asciiTheme="minorHAnsi" w:hAnsiTheme="minorHAnsi" w:cstheme="minorHAnsi"/>
          <w:sz w:val="22"/>
          <w:szCs w:val="22"/>
        </w:rPr>
        <w:t xml:space="preserve">Η Διακήρυξη του </w:t>
      </w:r>
      <w:r w:rsidRPr="006267BC">
        <w:rPr>
          <w:rFonts w:asciiTheme="minorHAnsi" w:hAnsiTheme="minorHAnsi" w:cstheme="minorHAnsi"/>
          <w:sz w:val="22"/>
          <w:szCs w:val="22"/>
          <w:lang w:val="fr-FR"/>
        </w:rPr>
        <w:t>Brunel</w:t>
      </w:r>
      <w:r w:rsidRPr="006267BC">
        <w:rPr>
          <w:rFonts w:asciiTheme="minorHAnsi" w:hAnsiTheme="minorHAnsi" w:cstheme="minorHAnsi"/>
          <w:sz w:val="22"/>
          <w:szCs w:val="22"/>
        </w:rPr>
        <w:t xml:space="preserve"> (</w:t>
      </w:r>
      <w:proofErr w:type="spellStart"/>
      <w:r w:rsidRPr="006267BC">
        <w:rPr>
          <w:rFonts w:asciiTheme="minorHAnsi" w:hAnsiTheme="minorHAnsi" w:cstheme="minorHAnsi"/>
          <w:sz w:val="22"/>
          <w:szCs w:val="22"/>
        </w:rPr>
        <w:t>Μπρούνελ</w:t>
      </w:r>
      <w:proofErr w:type="spellEnd"/>
      <w:r w:rsidRPr="006267BC">
        <w:rPr>
          <w:rFonts w:asciiTheme="minorHAnsi" w:hAnsiTheme="minorHAnsi" w:cstheme="minorHAnsi"/>
          <w:sz w:val="22"/>
          <w:szCs w:val="22"/>
        </w:rPr>
        <w:t>) θεσπίζει τις αρχές που πρέπει να ενισχύουν την προστασία όλων των αθλητών, συμπεριλαμβανομένων των νεαρών ατόμων, από κάθε μορφή βίας στον αθλητισμό.</w:t>
      </w:r>
    </w:p>
    <w:p w:rsidR="005B086E" w:rsidRPr="0083716B" w:rsidRDefault="005B086E" w:rsidP="005B086E">
      <w:pPr>
        <w:jc w:val="both"/>
        <w:rPr>
          <w:rFonts w:asciiTheme="minorHAnsi" w:hAnsiTheme="minorHAnsi" w:cstheme="minorHAnsi"/>
          <w:color w:val="005024"/>
          <w:sz w:val="22"/>
          <w:szCs w:val="22"/>
        </w:rPr>
      </w:pPr>
    </w:p>
    <w:p w:rsidR="00A078FF" w:rsidRPr="0083716B" w:rsidRDefault="00A078FF" w:rsidP="00140149">
      <w:pPr>
        <w:numPr>
          <w:ilvl w:val="0"/>
          <w:numId w:val="1"/>
        </w:numPr>
        <w:spacing w:line="360" w:lineRule="auto"/>
        <w:jc w:val="both"/>
        <w:rPr>
          <w:rFonts w:asciiTheme="minorHAnsi" w:hAnsiTheme="minorHAnsi" w:cstheme="minorHAnsi"/>
          <w:b/>
          <w:color w:val="005024"/>
          <w:sz w:val="26"/>
          <w:szCs w:val="26"/>
        </w:rPr>
      </w:pPr>
      <w:r w:rsidRPr="0083716B">
        <w:rPr>
          <w:rFonts w:asciiTheme="minorHAnsi" w:hAnsiTheme="minorHAnsi" w:cstheme="minorHAnsi"/>
          <w:b/>
          <w:color w:val="005024"/>
          <w:sz w:val="26"/>
          <w:szCs w:val="26"/>
        </w:rPr>
        <w:t>Συμβούλιο της Ευρώπης</w:t>
      </w:r>
      <w:r w:rsidR="005B086E" w:rsidRPr="0083716B">
        <w:rPr>
          <w:rFonts w:asciiTheme="minorHAnsi" w:hAnsiTheme="minorHAnsi" w:cstheme="minorHAnsi"/>
          <w:b/>
          <w:color w:val="005024"/>
          <w:sz w:val="26"/>
          <w:szCs w:val="26"/>
        </w:rPr>
        <w:t xml:space="preserve"> </w:t>
      </w:r>
      <w:r w:rsidRPr="0083716B">
        <w:rPr>
          <w:rFonts w:asciiTheme="minorHAnsi" w:hAnsiTheme="minorHAnsi" w:cstheme="minorHAnsi"/>
          <w:b/>
          <w:color w:val="005024"/>
          <w:sz w:val="26"/>
          <w:szCs w:val="26"/>
        </w:rPr>
        <w:t xml:space="preserve">Σύμβαση του </w:t>
      </w:r>
      <w:r w:rsidRPr="0083716B">
        <w:rPr>
          <w:rFonts w:asciiTheme="minorHAnsi" w:hAnsiTheme="minorHAnsi" w:cstheme="minorHAnsi"/>
          <w:b/>
          <w:color w:val="005024"/>
          <w:sz w:val="26"/>
          <w:szCs w:val="26"/>
          <w:lang w:val="en-US"/>
        </w:rPr>
        <w:t>Lanzarote</w:t>
      </w:r>
      <w:r w:rsidRPr="0083716B">
        <w:rPr>
          <w:rFonts w:asciiTheme="minorHAnsi" w:hAnsiTheme="minorHAnsi" w:cstheme="minorHAnsi"/>
          <w:b/>
          <w:color w:val="005024"/>
          <w:sz w:val="26"/>
          <w:szCs w:val="26"/>
        </w:rPr>
        <w:t xml:space="preserve">  (2007) </w:t>
      </w:r>
    </w:p>
    <w:p w:rsidR="00A078FF" w:rsidRPr="006267BC" w:rsidRDefault="00A078FF" w:rsidP="005B086E">
      <w:pPr>
        <w:autoSpaceDE w:val="0"/>
        <w:autoSpaceDN w:val="0"/>
        <w:adjustRightInd w:val="0"/>
        <w:jc w:val="both"/>
        <w:rPr>
          <w:rFonts w:asciiTheme="minorHAnsi" w:hAnsiTheme="minorHAnsi" w:cstheme="minorHAnsi"/>
          <w:sz w:val="22"/>
          <w:szCs w:val="22"/>
        </w:rPr>
      </w:pPr>
      <w:r w:rsidRPr="006267BC">
        <w:rPr>
          <w:rFonts w:asciiTheme="minorHAnsi" w:hAnsiTheme="minorHAnsi" w:cstheme="minorHAnsi"/>
          <w:sz w:val="22"/>
          <w:szCs w:val="22"/>
        </w:rPr>
        <w:t xml:space="preserve">Η Σύμβαση του Συμβουλίου της Ευρώπης για την προστασία των παιδιών από τη σεξουαλική εκμετάλλευση και σεξουαλική κακοποίηση, που ονομάζεται επίσης «Σύμβαση του </w:t>
      </w:r>
      <w:proofErr w:type="spellStart"/>
      <w:r w:rsidRPr="006267BC">
        <w:rPr>
          <w:rFonts w:asciiTheme="minorHAnsi" w:hAnsiTheme="minorHAnsi" w:cstheme="minorHAnsi"/>
          <w:sz w:val="22"/>
          <w:szCs w:val="22"/>
        </w:rPr>
        <w:t>Lanzarote</w:t>
      </w:r>
      <w:proofErr w:type="spellEnd"/>
      <w:r w:rsidRPr="006267BC">
        <w:rPr>
          <w:rFonts w:asciiTheme="minorHAnsi" w:hAnsiTheme="minorHAnsi" w:cstheme="minorHAnsi"/>
          <w:sz w:val="22"/>
          <w:szCs w:val="22"/>
        </w:rPr>
        <w:t xml:space="preserve">», επιβάλλει την ποινικοποίηση όλων των ειδών σεξουαλικών αδικημάτων που διαπράττονται σε βάρος των παιδιών και νέων ατόμων. </w:t>
      </w:r>
    </w:p>
    <w:p w:rsidR="00A078FF" w:rsidRPr="006267BC" w:rsidRDefault="00A078FF" w:rsidP="005B086E">
      <w:pPr>
        <w:jc w:val="both"/>
        <w:rPr>
          <w:rFonts w:asciiTheme="minorHAnsi" w:hAnsiTheme="minorHAnsi" w:cstheme="minorHAnsi"/>
          <w:sz w:val="22"/>
          <w:szCs w:val="22"/>
        </w:rPr>
      </w:pPr>
      <w:r w:rsidRPr="006267BC">
        <w:rPr>
          <w:rFonts w:asciiTheme="minorHAnsi" w:hAnsiTheme="minorHAnsi" w:cstheme="minorHAnsi"/>
          <w:sz w:val="22"/>
          <w:szCs w:val="22"/>
        </w:rPr>
        <w:t xml:space="preserve">Προβλέπει επίσης ότι τα κράτη της Ευρώπης και πέρα από αυτήν θα πρέπει να υιοθετήσουν συγκεκριμένη νομοθεσία και να λάβουν μέτρα για την αποτροπή της σεξουαλικής βίας, την προστασία των παιδιών-θυμάτων και τη δίωξη των δραστών. Η Επιτροπή του </w:t>
      </w:r>
      <w:r w:rsidRPr="006267BC">
        <w:rPr>
          <w:rFonts w:asciiTheme="minorHAnsi" w:hAnsiTheme="minorHAnsi" w:cstheme="minorHAnsi"/>
          <w:sz w:val="22"/>
          <w:szCs w:val="22"/>
          <w:lang w:val="en-US"/>
        </w:rPr>
        <w:t>Lanzarote</w:t>
      </w:r>
      <w:r w:rsidRPr="006267BC">
        <w:rPr>
          <w:rFonts w:asciiTheme="minorHAnsi" w:hAnsiTheme="minorHAnsi" w:cstheme="minorHAnsi"/>
          <w:sz w:val="22"/>
          <w:szCs w:val="22"/>
        </w:rPr>
        <w:t xml:space="preserve"> είναι ένας φορέας ο οποίος δημιουργήθηκε για να παρακολουθεί ποια κράτη μέλη εφαρμόζουν αποτελεσματικά την Σύμβαση του </w:t>
      </w:r>
      <w:r w:rsidRPr="006267BC">
        <w:rPr>
          <w:rFonts w:asciiTheme="minorHAnsi" w:hAnsiTheme="minorHAnsi" w:cstheme="minorHAnsi"/>
          <w:sz w:val="22"/>
          <w:szCs w:val="22"/>
          <w:lang w:val="en-US"/>
        </w:rPr>
        <w:t>Lanzarote</w:t>
      </w:r>
      <w:r w:rsidRPr="006267BC">
        <w:rPr>
          <w:rFonts w:asciiTheme="minorHAnsi" w:hAnsiTheme="minorHAnsi" w:cstheme="minorHAnsi"/>
          <w:sz w:val="22"/>
          <w:szCs w:val="22"/>
        </w:rPr>
        <w:t xml:space="preserve">. Για να δείτε τα τελευταία νέα και να έχετε πληροφόρηση όλων των αξιολογήσεων για τα επιτεύγματα των κρατών σχετικά με την Σύμβαση του </w:t>
      </w:r>
      <w:r w:rsidRPr="006267BC">
        <w:rPr>
          <w:rFonts w:asciiTheme="minorHAnsi" w:hAnsiTheme="minorHAnsi" w:cstheme="minorHAnsi"/>
          <w:sz w:val="22"/>
          <w:szCs w:val="22"/>
          <w:lang w:val="en-US"/>
        </w:rPr>
        <w:t>Lanzarote</w:t>
      </w:r>
      <w:r w:rsidRPr="006267BC">
        <w:rPr>
          <w:rFonts w:asciiTheme="minorHAnsi" w:hAnsiTheme="minorHAnsi" w:cstheme="minorHAnsi"/>
          <w:sz w:val="22"/>
          <w:szCs w:val="22"/>
        </w:rPr>
        <w:t xml:space="preserve"> επισκεφθείτε το:</w:t>
      </w:r>
      <w:r w:rsidR="00BB5B10">
        <w:rPr>
          <w:rFonts w:asciiTheme="minorHAnsi" w:hAnsiTheme="minorHAnsi" w:cstheme="minorHAnsi"/>
          <w:sz w:val="22"/>
          <w:szCs w:val="22"/>
        </w:rPr>
        <w:t xml:space="preserve"> </w:t>
      </w:r>
      <w:hyperlink r:id="rId7" w:history="1">
        <w:r w:rsidRPr="006267BC">
          <w:rPr>
            <w:rStyle w:val="-"/>
            <w:rFonts w:asciiTheme="minorHAnsi" w:hAnsiTheme="minorHAnsi" w:cstheme="minorHAnsi"/>
            <w:sz w:val="22"/>
            <w:szCs w:val="22"/>
            <w:lang w:val="en-US"/>
          </w:rPr>
          <w:t>www</w:t>
        </w:r>
        <w:r w:rsidRPr="006267BC">
          <w:rPr>
            <w:rStyle w:val="-"/>
            <w:rFonts w:asciiTheme="minorHAnsi" w:hAnsiTheme="minorHAnsi" w:cstheme="minorHAnsi"/>
            <w:sz w:val="22"/>
            <w:szCs w:val="22"/>
          </w:rPr>
          <w:t>.</w:t>
        </w:r>
        <w:proofErr w:type="spellStart"/>
        <w:r w:rsidRPr="006267BC">
          <w:rPr>
            <w:rStyle w:val="-"/>
            <w:rFonts w:asciiTheme="minorHAnsi" w:hAnsiTheme="minorHAnsi" w:cstheme="minorHAnsi"/>
            <w:sz w:val="22"/>
            <w:szCs w:val="22"/>
            <w:lang w:val="en-US"/>
          </w:rPr>
          <w:t>coe</w:t>
        </w:r>
        <w:proofErr w:type="spellEnd"/>
        <w:r w:rsidRPr="006267BC">
          <w:rPr>
            <w:rStyle w:val="-"/>
            <w:rFonts w:asciiTheme="minorHAnsi" w:hAnsiTheme="minorHAnsi" w:cstheme="minorHAnsi"/>
            <w:sz w:val="22"/>
            <w:szCs w:val="22"/>
          </w:rPr>
          <w:t>.</w:t>
        </w:r>
        <w:proofErr w:type="spellStart"/>
        <w:r w:rsidRPr="006267BC">
          <w:rPr>
            <w:rStyle w:val="-"/>
            <w:rFonts w:asciiTheme="minorHAnsi" w:hAnsiTheme="minorHAnsi" w:cstheme="minorHAnsi"/>
            <w:sz w:val="22"/>
            <w:szCs w:val="22"/>
            <w:lang w:val="en-US"/>
          </w:rPr>
          <w:t>int</w:t>
        </w:r>
        <w:proofErr w:type="spellEnd"/>
        <w:r w:rsidRPr="006267BC">
          <w:rPr>
            <w:rStyle w:val="-"/>
            <w:rFonts w:asciiTheme="minorHAnsi" w:hAnsiTheme="minorHAnsi" w:cstheme="minorHAnsi"/>
            <w:sz w:val="22"/>
            <w:szCs w:val="22"/>
          </w:rPr>
          <w:t>/</w:t>
        </w:r>
        <w:proofErr w:type="spellStart"/>
        <w:r w:rsidRPr="006267BC">
          <w:rPr>
            <w:rStyle w:val="-"/>
            <w:rFonts w:asciiTheme="minorHAnsi" w:hAnsiTheme="minorHAnsi" w:cstheme="minorHAnsi"/>
            <w:sz w:val="22"/>
            <w:szCs w:val="22"/>
            <w:lang w:val="en-US"/>
          </w:rPr>
          <w:t>en</w:t>
        </w:r>
        <w:proofErr w:type="spellEnd"/>
        <w:r w:rsidRPr="006267BC">
          <w:rPr>
            <w:rStyle w:val="-"/>
            <w:rFonts w:asciiTheme="minorHAnsi" w:hAnsiTheme="minorHAnsi" w:cstheme="minorHAnsi"/>
            <w:sz w:val="22"/>
            <w:szCs w:val="22"/>
          </w:rPr>
          <w:t>/</w:t>
        </w:r>
        <w:r w:rsidRPr="006267BC">
          <w:rPr>
            <w:rStyle w:val="-"/>
            <w:rFonts w:asciiTheme="minorHAnsi" w:hAnsiTheme="minorHAnsi" w:cstheme="minorHAnsi"/>
            <w:sz w:val="22"/>
            <w:szCs w:val="22"/>
            <w:lang w:val="en-US"/>
          </w:rPr>
          <w:t>web</w:t>
        </w:r>
        <w:r w:rsidRPr="006267BC">
          <w:rPr>
            <w:rStyle w:val="-"/>
            <w:rFonts w:asciiTheme="minorHAnsi" w:hAnsiTheme="minorHAnsi" w:cstheme="minorHAnsi"/>
            <w:sz w:val="22"/>
            <w:szCs w:val="22"/>
          </w:rPr>
          <w:t>/</w:t>
        </w:r>
        <w:r w:rsidRPr="006267BC">
          <w:rPr>
            <w:rStyle w:val="-"/>
            <w:rFonts w:asciiTheme="minorHAnsi" w:hAnsiTheme="minorHAnsi" w:cstheme="minorHAnsi"/>
            <w:sz w:val="22"/>
            <w:szCs w:val="22"/>
            <w:lang w:val="en-US"/>
          </w:rPr>
          <w:t>children</w:t>
        </w:r>
        <w:r w:rsidRPr="006267BC">
          <w:rPr>
            <w:rStyle w:val="-"/>
            <w:rFonts w:asciiTheme="minorHAnsi" w:hAnsiTheme="minorHAnsi" w:cstheme="minorHAnsi"/>
            <w:sz w:val="22"/>
            <w:szCs w:val="22"/>
          </w:rPr>
          <w:t>/</w:t>
        </w:r>
        <w:r w:rsidRPr="006267BC">
          <w:rPr>
            <w:rStyle w:val="-"/>
            <w:rFonts w:asciiTheme="minorHAnsi" w:hAnsiTheme="minorHAnsi" w:cstheme="minorHAnsi"/>
            <w:sz w:val="22"/>
            <w:szCs w:val="22"/>
            <w:lang w:val="en-US"/>
          </w:rPr>
          <w:t>convention</w:t>
        </w:r>
      </w:hyperlink>
      <w:r w:rsidRPr="006267BC">
        <w:rPr>
          <w:rFonts w:asciiTheme="minorHAnsi" w:hAnsiTheme="minorHAnsi" w:cstheme="minorHAnsi"/>
          <w:sz w:val="22"/>
          <w:szCs w:val="22"/>
        </w:rPr>
        <w:t xml:space="preserve"> </w:t>
      </w:r>
    </w:p>
    <w:p w:rsidR="00A078FF" w:rsidRPr="0083716B" w:rsidRDefault="00A078FF" w:rsidP="005B086E">
      <w:pPr>
        <w:jc w:val="both"/>
        <w:rPr>
          <w:rFonts w:asciiTheme="minorHAnsi" w:hAnsiTheme="minorHAnsi" w:cstheme="minorHAnsi"/>
          <w:b/>
          <w:color w:val="005024"/>
          <w:sz w:val="26"/>
          <w:szCs w:val="26"/>
        </w:rPr>
      </w:pPr>
    </w:p>
    <w:p w:rsidR="00A078FF" w:rsidRPr="0083716B" w:rsidRDefault="00A078FF" w:rsidP="0021103C">
      <w:pPr>
        <w:numPr>
          <w:ilvl w:val="0"/>
          <w:numId w:val="1"/>
        </w:numPr>
        <w:jc w:val="both"/>
        <w:rPr>
          <w:rFonts w:asciiTheme="minorHAnsi" w:hAnsiTheme="minorHAnsi" w:cstheme="minorHAnsi"/>
          <w:b/>
          <w:color w:val="005024"/>
          <w:sz w:val="26"/>
          <w:szCs w:val="26"/>
        </w:rPr>
      </w:pPr>
      <w:r w:rsidRPr="0083716B">
        <w:rPr>
          <w:rFonts w:asciiTheme="minorHAnsi" w:hAnsiTheme="minorHAnsi" w:cstheme="minorHAnsi"/>
          <w:b/>
          <w:color w:val="005024"/>
          <w:sz w:val="26"/>
          <w:szCs w:val="26"/>
        </w:rPr>
        <w:t>Δήλωση συναίνεσης της Διεθνούς Ολυμπιακής Επιτροπής (ΔΟΕ) για σεξουαλική παρενόχληση και κακοποίηση στον αθλητισμό (2016)</w:t>
      </w:r>
    </w:p>
    <w:p w:rsidR="00A078FF" w:rsidRPr="006267BC" w:rsidRDefault="00A078FF" w:rsidP="0021103C">
      <w:pPr>
        <w:jc w:val="both"/>
        <w:rPr>
          <w:rFonts w:asciiTheme="minorHAnsi" w:hAnsiTheme="minorHAnsi" w:cstheme="minorHAnsi"/>
          <w:sz w:val="22"/>
          <w:szCs w:val="22"/>
        </w:rPr>
      </w:pPr>
    </w:p>
    <w:p w:rsidR="00A078FF" w:rsidRPr="006267BC" w:rsidRDefault="00A078FF" w:rsidP="005B086E">
      <w:pPr>
        <w:jc w:val="both"/>
        <w:rPr>
          <w:rFonts w:asciiTheme="minorHAnsi" w:hAnsiTheme="minorHAnsi" w:cstheme="minorHAnsi"/>
          <w:sz w:val="22"/>
          <w:szCs w:val="22"/>
        </w:rPr>
      </w:pPr>
      <w:r w:rsidRPr="006267BC">
        <w:rPr>
          <w:rFonts w:asciiTheme="minorHAnsi" w:hAnsiTheme="minorHAnsi" w:cstheme="minorHAnsi"/>
          <w:sz w:val="22"/>
          <w:szCs w:val="22"/>
        </w:rPr>
        <w:t>Αυτή η δήλωση βασίζεται στην προηγούμενη δήλωση συναίνεσης σχετικά με τη σεξουαλική παρενόχληση και κακοποίηση στον αθλητισμό (2007). Αναφέρεται ρητά στην προστασία των παιδιών και των νεαρών ατόμων. Το 2016, η ΔΟΕ ενίσχυσε τις οδηγίες της προς τις Διεθνείς Αθλητικές Ομοσπονδίες και τις Εθνικές Ολυμπιακές Επιτροπές.</w:t>
      </w:r>
    </w:p>
    <w:p w:rsidR="00A078FF" w:rsidRDefault="00A078FF" w:rsidP="00A078FF">
      <w:pPr>
        <w:spacing w:line="360" w:lineRule="auto"/>
        <w:jc w:val="both"/>
        <w:rPr>
          <w:rFonts w:asciiTheme="minorHAnsi" w:hAnsiTheme="minorHAnsi" w:cstheme="minorHAnsi"/>
          <w:b/>
          <w:color w:val="005024"/>
          <w:sz w:val="26"/>
          <w:szCs w:val="26"/>
        </w:rPr>
      </w:pPr>
    </w:p>
    <w:p w:rsidR="00BB5B10" w:rsidRPr="0083716B" w:rsidRDefault="00BB5B10" w:rsidP="00A078FF">
      <w:pPr>
        <w:spacing w:line="360" w:lineRule="auto"/>
        <w:jc w:val="both"/>
        <w:rPr>
          <w:rFonts w:asciiTheme="minorHAnsi" w:hAnsiTheme="minorHAnsi" w:cstheme="minorHAnsi"/>
          <w:b/>
          <w:color w:val="005024"/>
          <w:sz w:val="26"/>
          <w:szCs w:val="26"/>
        </w:rPr>
      </w:pPr>
    </w:p>
    <w:p w:rsidR="00A078FF" w:rsidRPr="0083716B" w:rsidRDefault="00A078FF" w:rsidP="0021103C">
      <w:pPr>
        <w:pStyle w:val="a3"/>
        <w:numPr>
          <w:ilvl w:val="0"/>
          <w:numId w:val="1"/>
        </w:numPr>
        <w:jc w:val="both"/>
        <w:rPr>
          <w:rFonts w:asciiTheme="minorHAnsi" w:hAnsiTheme="minorHAnsi" w:cstheme="minorHAnsi"/>
          <w:b/>
          <w:color w:val="005024"/>
          <w:sz w:val="26"/>
          <w:szCs w:val="26"/>
        </w:rPr>
      </w:pPr>
      <w:r w:rsidRPr="0083716B">
        <w:rPr>
          <w:rFonts w:asciiTheme="minorHAnsi" w:hAnsiTheme="minorHAnsi" w:cstheme="minorHAnsi"/>
          <w:b/>
          <w:color w:val="005024"/>
          <w:sz w:val="26"/>
          <w:szCs w:val="26"/>
        </w:rPr>
        <w:lastRenderedPageBreak/>
        <w:t>Διεθνή μέτρα προφύλαξης για τα παιδιά στον αθλητισμό (2014)</w:t>
      </w:r>
    </w:p>
    <w:p w:rsidR="00A078FF" w:rsidRPr="006267BC" w:rsidRDefault="00A078FF" w:rsidP="0021103C">
      <w:pPr>
        <w:jc w:val="both"/>
        <w:rPr>
          <w:rFonts w:asciiTheme="minorHAnsi" w:hAnsiTheme="minorHAnsi" w:cstheme="minorHAnsi"/>
          <w:sz w:val="22"/>
          <w:szCs w:val="22"/>
        </w:rPr>
      </w:pPr>
    </w:p>
    <w:p w:rsidR="00A078FF" w:rsidRPr="006267BC"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lang w:val="fr-FR"/>
        </w:rPr>
        <w:t>To</w:t>
      </w:r>
      <w:r w:rsidRPr="006267BC">
        <w:rPr>
          <w:rFonts w:asciiTheme="minorHAnsi" w:hAnsiTheme="minorHAnsi" w:cstheme="minorHAnsi"/>
          <w:sz w:val="22"/>
          <w:szCs w:val="22"/>
        </w:rPr>
        <w:t xml:space="preserve"> 2001 στο Ηνωμένο Βασίλειο, η υπηρεσία NSPCC </w:t>
      </w:r>
      <w:proofErr w:type="spellStart"/>
      <w:r w:rsidRPr="006267BC">
        <w:rPr>
          <w:rFonts w:asciiTheme="minorHAnsi" w:hAnsiTheme="minorHAnsi" w:cstheme="minorHAnsi"/>
          <w:sz w:val="22"/>
          <w:szCs w:val="22"/>
        </w:rPr>
        <w:t>Child</w:t>
      </w:r>
      <w:proofErr w:type="spellEnd"/>
      <w:r w:rsidRPr="006267BC">
        <w:rPr>
          <w:rFonts w:asciiTheme="minorHAnsi" w:hAnsiTheme="minorHAnsi" w:cstheme="minorHAnsi"/>
          <w:sz w:val="22"/>
          <w:szCs w:val="22"/>
        </w:rPr>
        <w:t xml:space="preserve"> Protection in Sport (= Εθνική Εταιρεία για την πρόληψη της κακοποίησης του παιδιού) σχεδίασε ένα σύνολο προτύπων. Αυτά τα πρότυπα χρησιμοποιούνται από τις αρχές και διασφαλίζουν ότι οι αθλητικοί οργανισμοί που λαμβάνουν χρηματοδότηση εφαρμόζουν κατάλληλα προστατευτικά μέτρα.</w:t>
      </w:r>
    </w:p>
    <w:p w:rsidR="00A078FF" w:rsidRPr="006267BC"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rPr>
        <w:t xml:space="preserve">Στη συνέχεια, η Βρετανική UNICEF ηγήθηκε ενός πλαισίου εταιρικής (σχέσης) συνεργασίας με οργανισμούς με σκοπό τον καθορισμό των βασικών στοιχείων/πυλώνων που απαιτείται να τεθούν σε εφαρμογή για να διασφαλιστεί η προστασία των παιδιών και των νέων ατόμων από κάθε μορφή βίας, συμπεριλαμβανομένης και της σεξουαλικής στον αθλητισμό και μέσω του αθλητισμού. </w:t>
      </w:r>
    </w:p>
    <w:p w:rsidR="00A078FF" w:rsidRPr="006267BC" w:rsidRDefault="00A078FF" w:rsidP="007F5499">
      <w:pPr>
        <w:autoSpaceDE w:val="0"/>
        <w:autoSpaceDN w:val="0"/>
        <w:adjustRightInd w:val="0"/>
        <w:jc w:val="both"/>
        <w:rPr>
          <w:rFonts w:asciiTheme="minorHAnsi" w:hAnsiTheme="minorHAnsi" w:cstheme="minorHAnsi"/>
          <w:sz w:val="22"/>
          <w:szCs w:val="22"/>
          <w:lang w:val="fr-FR"/>
        </w:rPr>
      </w:pPr>
      <w:r w:rsidRPr="006267BC">
        <w:rPr>
          <w:rFonts w:asciiTheme="minorHAnsi" w:hAnsiTheme="minorHAnsi" w:cstheme="minorHAnsi"/>
          <w:sz w:val="22"/>
          <w:szCs w:val="22"/>
        </w:rPr>
        <w:t xml:space="preserve">Τα μέτρα αυτά είναι τα εξής: πολιτικές, διαδικασίες, δράσεις κατάρτισης και επικοινωνίας, σεβασμός της αρχής της ισότητας,  μεγαλύτερη προσοχή στα παιδιά και στα νέα άτομα όταν μιλάνε και, τέλος, πρόσληψη προσωπικού - μέσω ασφαλών διαδικασιών επιλογής και πρόσληψης, διοργάνωση αθλητικών εκδηλώσεων χωρίς κίνδυνο, καθώς και παρακολούθηση και αξιολόγηση. Αυτά τα μέτρα έχουν δοκιμαστεί σε περισσότερους από πενήντα αθλητικούς οργανισμούς σε όλο τον κόσμο και υιοθετούνται από όλο και περισσότερους αθλητικούς φορείς. Ένα έγγραφο καθοδήγησης για αθλητικούς οργανισμούς  δημοσιεύτηκε το </w:t>
      </w:r>
      <w:r w:rsidRPr="006267BC">
        <w:rPr>
          <w:rFonts w:asciiTheme="minorHAnsi" w:hAnsiTheme="minorHAnsi" w:cstheme="minorHAnsi"/>
          <w:sz w:val="22"/>
          <w:szCs w:val="22"/>
          <w:lang w:val="fr-FR"/>
        </w:rPr>
        <w:t>2016.</w:t>
      </w:r>
    </w:p>
    <w:p w:rsidR="00A078FF" w:rsidRPr="006267BC" w:rsidRDefault="00A078FF" w:rsidP="0021103C">
      <w:pPr>
        <w:spacing w:line="360" w:lineRule="auto"/>
        <w:jc w:val="both"/>
        <w:rPr>
          <w:rFonts w:asciiTheme="minorHAnsi" w:hAnsiTheme="minorHAnsi" w:cstheme="minorHAnsi"/>
          <w:sz w:val="22"/>
          <w:szCs w:val="22"/>
        </w:rPr>
      </w:pPr>
    </w:p>
    <w:p w:rsidR="00A078FF" w:rsidRPr="00182E11" w:rsidRDefault="00A078FF" w:rsidP="0021103C">
      <w:pPr>
        <w:spacing w:line="360" w:lineRule="auto"/>
        <w:jc w:val="both"/>
        <w:rPr>
          <w:rFonts w:asciiTheme="minorHAnsi" w:hAnsiTheme="minorHAnsi" w:cstheme="minorHAnsi"/>
          <w:b/>
          <w:color w:val="FFFFFF" w:themeColor="background1"/>
          <w:sz w:val="26"/>
          <w:szCs w:val="26"/>
          <w:highlight w:val="darkGray"/>
        </w:rPr>
      </w:pPr>
      <w:r w:rsidRPr="00182E11">
        <w:rPr>
          <w:rFonts w:asciiTheme="minorHAnsi" w:hAnsiTheme="minorHAnsi" w:cstheme="minorHAnsi"/>
          <w:b/>
          <w:color w:val="FFFFFF" w:themeColor="background1"/>
          <w:sz w:val="26"/>
          <w:szCs w:val="26"/>
          <w:highlight w:val="darkGray"/>
        </w:rPr>
        <w:t xml:space="preserve">Πλαίσιο χώρας </w:t>
      </w:r>
    </w:p>
    <w:p w:rsidR="00A078FF" w:rsidRPr="00182E11" w:rsidRDefault="00A078FF" w:rsidP="0021103C">
      <w:pPr>
        <w:numPr>
          <w:ilvl w:val="0"/>
          <w:numId w:val="2"/>
        </w:numPr>
        <w:spacing w:line="360" w:lineRule="auto"/>
        <w:jc w:val="both"/>
        <w:rPr>
          <w:rFonts w:asciiTheme="minorHAnsi" w:hAnsiTheme="minorHAnsi" w:cstheme="minorHAnsi"/>
          <w:i/>
          <w:color w:val="FFFFFF" w:themeColor="background1"/>
          <w:sz w:val="22"/>
          <w:szCs w:val="22"/>
          <w:highlight w:val="darkGray"/>
        </w:rPr>
      </w:pPr>
      <w:r w:rsidRPr="00182E11">
        <w:rPr>
          <w:rFonts w:asciiTheme="minorHAnsi" w:hAnsiTheme="minorHAnsi" w:cstheme="minorHAnsi"/>
          <w:b/>
          <w:color w:val="FFFFFF" w:themeColor="background1"/>
          <w:sz w:val="22"/>
          <w:szCs w:val="22"/>
          <w:highlight w:val="darkGray"/>
        </w:rPr>
        <w:t>Ορισμοί: «παιδί» και «σεξουαλική βία» στο Αστικό και Ποινικό Δίκαιο</w:t>
      </w:r>
      <w:r w:rsidRPr="00182E11">
        <w:rPr>
          <w:rFonts w:asciiTheme="minorHAnsi" w:hAnsiTheme="minorHAnsi" w:cstheme="minorHAnsi"/>
          <w:color w:val="FFFFFF" w:themeColor="background1"/>
          <w:sz w:val="22"/>
          <w:szCs w:val="22"/>
          <w:highlight w:val="darkGray"/>
        </w:rPr>
        <w:t xml:space="preserve">:   </w:t>
      </w:r>
    </w:p>
    <w:p w:rsidR="00A078FF" w:rsidRPr="006267BC" w:rsidRDefault="007F5499" w:rsidP="007F5499">
      <w:pPr>
        <w:ind w:left="720"/>
        <w:jc w:val="both"/>
        <w:rPr>
          <w:rFonts w:asciiTheme="minorHAnsi" w:hAnsiTheme="minorHAnsi" w:cstheme="minorHAnsi"/>
          <w:sz w:val="22"/>
          <w:szCs w:val="22"/>
        </w:rPr>
      </w:pPr>
      <w:r>
        <w:rPr>
          <w:rFonts w:asciiTheme="minorHAnsi" w:hAnsiTheme="minorHAnsi" w:cstheme="minorHAnsi"/>
          <w:sz w:val="22"/>
          <w:szCs w:val="22"/>
        </w:rPr>
        <w:t xml:space="preserve"> </w:t>
      </w:r>
      <w:r w:rsidR="00A078FF" w:rsidRPr="006267BC">
        <w:rPr>
          <w:rFonts w:asciiTheme="minorHAnsi" w:hAnsiTheme="minorHAnsi" w:cstheme="minorHAnsi"/>
          <w:sz w:val="22"/>
          <w:szCs w:val="22"/>
        </w:rPr>
        <w:t>Παιδί</w:t>
      </w:r>
    </w:p>
    <w:p w:rsidR="00A078FF" w:rsidRPr="006267BC"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rPr>
        <w:t xml:space="preserve">            </w:t>
      </w:r>
      <w:r w:rsidR="007F5499" w:rsidRPr="007F5499">
        <w:rPr>
          <w:rFonts w:asciiTheme="minorHAnsi" w:hAnsiTheme="minorHAnsi" w:cstheme="minorHAnsi"/>
          <w:sz w:val="22"/>
          <w:szCs w:val="22"/>
        </w:rPr>
        <w:t xml:space="preserve">   </w:t>
      </w:r>
      <w:r w:rsidRPr="006267BC">
        <w:rPr>
          <w:rFonts w:asciiTheme="minorHAnsi" w:hAnsiTheme="minorHAnsi" w:cstheme="minorHAnsi"/>
          <w:sz w:val="22"/>
          <w:szCs w:val="22"/>
        </w:rPr>
        <w:t xml:space="preserve">Aρ.3, Ν. 3727/2008 (ΦΕΚ Α’  257) ο όρος «παιδί» σημαίνει οποιοδήποτε πρόσωπο κάτω   </w:t>
      </w:r>
    </w:p>
    <w:p w:rsidR="00A078FF" w:rsidRPr="006267BC"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rPr>
        <w:t xml:space="preserve">           </w:t>
      </w:r>
      <w:r w:rsidR="007F5499" w:rsidRPr="007F5499">
        <w:rPr>
          <w:rFonts w:asciiTheme="minorHAnsi" w:hAnsiTheme="minorHAnsi" w:cstheme="minorHAnsi"/>
          <w:sz w:val="22"/>
          <w:szCs w:val="22"/>
        </w:rPr>
        <w:t xml:space="preserve">    </w:t>
      </w:r>
      <w:r w:rsidRPr="006267BC">
        <w:rPr>
          <w:rFonts w:asciiTheme="minorHAnsi" w:hAnsiTheme="minorHAnsi" w:cstheme="minorHAnsi"/>
          <w:sz w:val="22"/>
          <w:szCs w:val="22"/>
        </w:rPr>
        <w:t>των 18 ετών</w:t>
      </w:r>
    </w:p>
    <w:p w:rsidR="00A078FF" w:rsidRPr="006267BC" w:rsidRDefault="007F5499" w:rsidP="007F5499">
      <w:pPr>
        <w:ind w:left="720"/>
        <w:rPr>
          <w:rFonts w:asciiTheme="minorHAnsi" w:hAnsiTheme="minorHAnsi" w:cstheme="minorHAnsi"/>
          <w:sz w:val="22"/>
          <w:szCs w:val="22"/>
        </w:rPr>
      </w:pPr>
      <w:r>
        <w:rPr>
          <w:rFonts w:asciiTheme="minorHAnsi" w:hAnsiTheme="minorHAnsi" w:cstheme="minorHAnsi"/>
          <w:sz w:val="22"/>
          <w:szCs w:val="22"/>
        </w:rPr>
        <w:t xml:space="preserve"> </w:t>
      </w:r>
      <w:r w:rsidR="00A078FF" w:rsidRPr="006267BC">
        <w:rPr>
          <w:rFonts w:asciiTheme="minorHAnsi" w:hAnsiTheme="minorHAnsi" w:cstheme="minorHAnsi"/>
          <w:sz w:val="22"/>
          <w:szCs w:val="22"/>
        </w:rPr>
        <w:t xml:space="preserve">Σεξουαλική κακοποίηση </w:t>
      </w:r>
    </w:p>
    <w:p w:rsidR="00A078FF" w:rsidRPr="006267BC"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rPr>
        <w:t xml:space="preserve">           </w:t>
      </w:r>
      <w:r w:rsidR="007F5499" w:rsidRPr="007F5499">
        <w:rPr>
          <w:rFonts w:asciiTheme="minorHAnsi" w:hAnsiTheme="minorHAnsi" w:cstheme="minorHAnsi"/>
          <w:sz w:val="22"/>
          <w:szCs w:val="22"/>
        </w:rPr>
        <w:t xml:space="preserve">    </w:t>
      </w:r>
      <w:proofErr w:type="spellStart"/>
      <w:r w:rsidRPr="006267BC">
        <w:rPr>
          <w:rFonts w:asciiTheme="minorHAnsi" w:hAnsiTheme="minorHAnsi" w:cstheme="minorHAnsi"/>
          <w:sz w:val="22"/>
          <w:szCs w:val="22"/>
        </w:rPr>
        <w:t>Αρ</w:t>
      </w:r>
      <w:proofErr w:type="spellEnd"/>
      <w:r w:rsidRPr="006267BC">
        <w:rPr>
          <w:rFonts w:asciiTheme="minorHAnsi" w:hAnsiTheme="minorHAnsi" w:cstheme="minorHAnsi"/>
          <w:sz w:val="22"/>
          <w:szCs w:val="22"/>
        </w:rPr>
        <w:t>. 18, Ν. 3727/2008 (ΦΕΚ Α΄257) Γενετήσια κακοποίηση</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«…α. τη διενέργεια γενετήσιων πράξεων με παιδί το οποίο, σύμφωνα με τις σχετικές διατάξεις της εθνικής νομοθεσίας, δεν έχει φθάσει στη νόμιμη ηλικία για γενετήσιες πράξεις</w:t>
      </w:r>
      <w:r w:rsidRPr="006267BC">
        <w:rPr>
          <w:rFonts w:asciiTheme="minorHAnsi" w:hAnsiTheme="minorHAnsi" w:cstheme="minorHAnsi"/>
          <w:sz w:val="22"/>
          <w:szCs w:val="22"/>
        </w:rPr>
        <w:br/>
        <w:t>β. τη διενέργεια γενετήσιων πράξεων με παιδί, όταν: γίνεται χρήση καταναγκασμού, βίας ή απειλών, ή γίνεται κατάχρηση αναγνωρισμένης θέσης εμπιστοσύνης, εξουσίας ή επιρροής επάνω στο παιδί, ακόμη και εντός της οικογένειας, ή γίνεται κατάχρηση μιας ιδιαίτερα ευάλωτης κατάστασης του παιδιού, κυρίως λόγω διανοητικής ή σωματικής αναπηρίας ή κατάστασης εξάρτησης.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Άρ.19 Ν. 3727/2008 (ΦΕΚ Α΄257) Αδικήματα που αφορούν την παιδική πορνεία</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 α. η στρατολόγηση ενός παιδιού σε πορνεία ή η εξώθηση ενός παιδιού σε πορνεία,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β. ο εξαναγκασμός ενός παιδιού σε πορνεία ή η αποκόμιση κέρδους από αυτή ή την με άλλο τρόπο εκμετάλλευση ενός παιδιού για τους λόγους αυτούς,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γ. η συμμετοχή σε παιδική πορνεία.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ο όρος «παιδική πορνεία» θεωρείται η χρησιμοποίηση ενός παιδιού για γενετήσιες πράξεις, η προσφορά ή υπόσχεση πληρωμής χρημάτων ή οποιασδήποτε άλλης μορφής αμοιβής ή ανταλλάγματος, ανεξάρτητα από το εάν αυτή η πληρωμή, υπόσχεση ή αντάλλαγμα δίνονται στο παιδί ή σε τρίτο πρόσωπο. …».</w:t>
      </w:r>
    </w:p>
    <w:p w:rsidR="00A078FF" w:rsidRPr="006267BC" w:rsidRDefault="00A078FF" w:rsidP="007F5499">
      <w:pPr>
        <w:ind w:left="720"/>
        <w:jc w:val="both"/>
        <w:rPr>
          <w:rFonts w:asciiTheme="minorHAnsi" w:hAnsiTheme="minorHAnsi" w:cstheme="minorHAnsi"/>
          <w:sz w:val="22"/>
          <w:szCs w:val="22"/>
        </w:rPr>
      </w:pPr>
      <w:proofErr w:type="spellStart"/>
      <w:r w:rsidRPr="006267BC">
        <w:rPr>
          <w:rFonts w:asciiTheme="minorHAnsi" w:hAnsiTheme="minorHAnsi" w:cstheme="minorHAnsi"/>
          <w:sz w:val="22"/>
          <w:szCs w:val="22"/>
        </w:rPr>
        <w:t>Άρ</w:t>
      </w:r>
      <w:proofErr w:type="spellEnd"/>
      <w:r w:rsidRPr="006267BC">
        <w:rPr>
          <w:rFonts w:asciiTheme="minorHAnsi" w:hAnsiTheme="minorHAnsi" w:cstheme="minorHAnsi"/>
          <w:sz w:val="22"/>
          <w:szCs w:val="22"/>
        </w:rPr>
        <w:t>. 20</w:t>
      </w:r>
      <w:r w:rsidRPr="006267BC">
        <w:rPr>
          <w:rFonts w:asciiTheme="minorHAnsi" w:hAnsiTheme="minorHAnsi" w:cstheme="minorHAnsi"/>
          <w:b/>
          <w:bCs/>
          <w:sz w:val="22"/>
          <w:szCs w:val="22"/>
        </w:rPr>
        <w:t xml:space="preserve"> </w:t>
      </w:r>
      <w:r w:rsidRPr="006267BC">
        <w:rPr>
          <w:rFonts w:asciiTheme="minorHAnsi" w:hAnsiTheme="minorHAnsi" w:cstheme="minorHAnsi"/>
          <w:sz w:val="22"/>
          <w:szCs w:val="22"/>
        </w:rPr>
        <w:t>Ν. 3727/2008 (ΦΕΚ Α΄257) Αδικήματα που αφορούν την παιδική πορνογραφία</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 α. η παραγωγή παιδικού πορνογραφικού υλικού,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β. η προσφορά ή η διάθεση παιδικού πορνογραφικού υλικού,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γ. η διανομή ή μετάδοση παιδικού πορνογραφικού υλικού,</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δ. η προμήθεια παιδικού πορνογραφικού υλικού για ίδια χρήση ή για χρήση τρίτου,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ε. η κατοχή παιδικού πορνογραφικού υλικού </w:t>
      </w:r>
    </w:p>
    <w:p w:rsidR="00A078FF" w:rsidRPr="006267BC" w:rsidRDefault="00A078FF" w:rsidP="007F5499">
      <w:pPr>
        <w:ind w:left="720"/>
        <w:jc w:val="both"/>
        <w:rPr>
          <w:rFonts w:asciiTheme="minorHAnsi" w:hAnsiTheme="minorHAnsi" w:cstheme="minorHAnsi"/>
          <w:sz w:val="22"/>
          <w:szCs w:val="22"/>
        </w:rPr>
      </w:pPr>
      <w:proofErr w:type="spellStart"/>
      <w:r w:rsidRPr="006267BC">
        <w:rPr>
          <w:rFonts w:asciiTheme="minorHAnsi" w:hAnsiTheme="minorHAnsi" w:cstheme="minorHAnsi"/>
          <w:sz w:val="22"/>
          <w:szCs w:val="22"/>
        </w:rPr>
        <w:t>στ</w:t>
      </w:r>
      <w:proofErr w:type="spellEnd"/>
      <w:r w:rsidRPr="006267BC">
        <w:rPr>
          <w:rFonts w:asciiTheme="minorHAnsi" w:hAnsiTheme="minorHAnsi" w:cstheme="minorHAnsi"/>
          <w:sz w:val="22"/>
          <w:szCs w:val="22"/>
        </w:rPr>
        <w:t>. η εν γνώσει απόκτηση πρόσβασης σε παιδικό πορνογραφικό υλικό, μέσω της τεχνολογίας της πληροφόρησης και επικοινωνίας.</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ο όρος «παιδική πορνογραφία» σημαίνει οποιοδήποτε υλικό απεικονίζει οπτικά ένα παιδί να συμμετέχει σε πραγματική ή προσομοιωμένη σαφή γενετήσια συμπεριφορά ή οποιαδήποτε απεικόνιση των γενετικών οργάνων ενός παιδιού, κυρίως για γενετήσιους λόγους.…».</w:t>
      </w:r>
    </w:p>
    <w:p w:rsidR="00D061EF" w:rsidRDefault="00D061EF" w:rsidP="007F5499">
      <w:pPr>
        <w:ind w:left="720"/>
        <w:jc w:val="both"/>
        <w:rPr>
          <w:rFonts w:asciiTheme="minorHAnsi" w:hAnsiTheme="minorHAnsi" w:cstheme="minorHAnsi"/>
          <w:sz w:val="22"/>
          <w:szCs w:val="22"/>
        </w:rPr>
      </w:pPr>
    </w:p>
    <w:p w:rsidR="00D061EF" w:rsidRDefault="00D061EF" w:rsidP="007F5499">
      <w:pPr>
        <w:ind w:left="720"/>
        <w:jc w:val="both"/>
        <w:rPr>
          <w:rFonts w:asciiTheme="minorHAnsi" w:hAnsiTheme="minorHAnsi" w:cstheme="minorHAnsi"/>
          <w:sz w:val="22"/>
          <w:szCs w:val="22"/>
        </w:rPr>
      </w:pP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lastRenderedPageBreak/>
        <w:t>Άρ.21 Ν. 3727/2008 (ΦΕΚ Α΄257) Αδικήματα που αφορούν τη συμμετοχή ενός παιδιού σε πορνογραφικές παραστάσεις</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α. η στρατολόγηση ενός παιδιού για συμμετοχή σε πορνογραφικές παραστάσεις ή εξώθηση ενός παιδιού να συμμετάσχει σε τέτοιες παραστάσεις, β. ο εξαναγκασμός ενός παιδιού σε συμμετοχή σε πορνογραφικές παραστάσεις ή η αποκόμιση κέρδους από τη συμμετοχή αυτή ή η εκμετάλλευση ενός παιδιού με άλλο τρόπο για τον ίδιο λόγο, γ. η εν γνώσει παρακολούθηση πορνογραφικών παραστάσεων που περιλαμβάνουν τη συμμετοχή παιδιών. …»</w:t>
      </w:r>
    </w:p>
    <w:p w:rsidR="00A078FF" w:rsidRPr="006267BC" w:rsidRDefault="00A078FF" w:rsidP="007F5499">
      <w:pPr>
        <w:ind w:left="720"/>
        <w:jc w:val="both"/>
        <w:rPr>
          <w:rFonts w:asciiTheme="minorHAnsi" w:hAnsiTheme="minorHAnsi" w:cstheme="minorHAnsi"/>
          <w:sz w:val="22"/>
          <w:szCs w:val="22"/>
        </w:rPr>
      </w:pPr>
      <w:proofErr w:type="spellStart"/>
      <w:r w:rsidRPr="006267BC">
        <w:rPr>
          <w:rFonts w:asciiTheme="minorHAnsi" w:hAnsiTheme="minorHAnsi" w:cstheme="minorHAnsi"/>
          <w:sz w:val="22"/>
          <w:szCs w:val="22"/>
        </w:rPr>
        <w:t>Άρ</w:t>
      </w:r>
      <w:proofErr w:type="spellEnd"/>
      <w:r w:rsidRPr="006267BC">
        <w:rPr>
          <w:rFonts w:asciiTheme="minorHAnsi" w:hAnsiTheme="minorHAnsi" w:cstheme="minorHAnsi"/>
          <w:sz w:val="22"/>
          <w:szCs w:val="22"/>
        </w:rPr>
        <w:t>. 22</w:t>
      </w:r>
      <w:r w:rsidRPr="006267BC">
        <w:rPr>
          <w:rFonts w:asciiTheme="minorHAnsi" w:hAnsiTheme="minorHAnsi" w:cstheme="minorHAnsi"/>
          <w:b/>
          <w:bCs/>
          <w:sz w:val="22"/>
          <w:szCs w:val="22"/>
        </w:rPr>
        <w:t xml:space="preserve"> </w:t>
      </w:r>
      <w:r w:rsidRPr="006267BC">
        <w:rPr>
          <w:rFonts w:asciiTheme="minorHAnsi" w:hAnsiTheme="minorHAnsi" w:cstheme="minorHAnsi"/>
          <w:sz w:val="22"/>
          <w:szCs w:val="22"/>
        </w:rPr>
        <w:t>Ν. 3727/2008 (ΦΕΚ Α΄257) Διαφθορά παιδιών</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την εκ προθέσεως εξώθηση, για γενετήσιους λόγους, ενός παιδιού που δεν έχει φθάσει την ηλικία που ορίζεται κατ’ εφαρμογή του άρθρου 18, παράγραφος 2, να παρίσταται σε γενετήσια κακοποίηση ή σε γενετήσιες πράξεις, ακόμη και χωρίς να πρέπει να συμμετέχει. …».</w:t>
      </w:r>
    </w:p>
    <w:p w:rsidR="00A078FF" w:rsidRPr="006267BC" w:rsidRDefault="00A078FF" w:rsidP="007F5499">
      <w:pPr>
        <w:ind w:left="720"/>
        <w:rPr>
          <w:rFonts w:asciiTheme="minorHAnsi" w:hAnsiTheme="minorHAnsi" w:cstheme="minorHAnsi"/>
          <w:sz w:val="22"/>
          <w:szCs w:val="22"/>
        </w:rPr>
      </w:pPr>
      <w:proofErr w:type="spellStart"/>
      <w:r w:rsidRPr="006267BC">
        <w:rPr>
          <w:rFonts w:asciiTheme="minorHAnsi" w:hAnsiTheme="minorHAnsi" w:cstheme="minorHAnsi"/>
          <w:sz w:val="22"/>
          <w:szCs w:val="22"/>
        </w:rPr>
        <w:t>Άρ</w:t>
      </w:r>
      <w:proofErr w:type="spellEnd"/>
      <w:r w:rsidRPr="006267BC">
        <w:rPr>
          <w:rFonts w:asciiTheme="minorHAnsi" w:hAnsiTheme="minorHAnsi" w:cstheme="minorHAnsi"/>
          <w:sz w:val="22"/>
          <w:szCs w:val="22"/>
        </w:rPr>
        <w:t>. 23 Ν. 3727/2008 (ΦΕΚ Α΄257) Άγρα παιδιών για γενετήσιους λόγους</w:t>
      </w:r>
      <w:r w:rsidRPr="006267BC">
        <w:rPr>
          <w:rFonts w:asciiTheme="minorHAnsi" w:hAnsiTheme="minorHAnsi" w:cstheme="minorHAnsi"/>
          <w:sz w:val="22"/>
          <w:szCs w:val="22"/>
        </w:rPr>
        <w:br/>
        <w:t xml:space="preserve">«… την εκ προθέσεως πρόταση, μέσω της τεχνολογίας πληροφόρησης και επικοινωνίας, σε ενήλικο να συναντήσει ένα παιδί που δεν έχει φθάσει την ηλικία που ορίζεται κατ’ εφαρμογή του άρθρου 18, … με σκοπό τη διάπραξη εις βάρος του οποιωνδήποτε από τα αδικήματα που θεσπίζονται σύμφωνα με το άρθρο 18, … ή το άρθρο 20, …, όταν η πρόταση αυτή ακολουθείται από ουσιαστικές πράξεις που οδηγούν σε μια τέτοια συνάντηση. …». </w:t>
      </w:r>
    </w:p>
    <w:p w:rsidR="00A078FF" w:rsidRPr="007F5499" w:rsidRDefault="00A078FF" w:rsidP="007F5499">
      <w:pPr>
        <w:rPr>
          <w:rFonts w:asciiTheme="minorHAnsi" w:hAnsiTheme="minorHAnsi" w:cstheme="minorHAnsi"/>
          <w:sz w:val="22"/>
          <w:szCs w:val="22"/>
        </w:rPr>
      </w:pPr>
    </w:p>
    <w:p w:rsidR="00A078FF" w:rsidRPr="00182E11" w:rsidRDefault="00A078FF" w:rsidP="007F5499">
      <w:pPr>
        <w:numPr>
          <w:ilvl w:val="0"/>
          <w:numId w:val="2"/>
        </w:numPr>
        <w:jc w:val="both"/>
        <w:rPr>
          <w:rFonts w:asciiTheme="minorHAnsi" w:hAnsiTheme="minorHAnsi" w:cstheme="minorHAnsi"/>
          <w:color w:val="FFFFFF" w:themeColor="background1"/>
          <w:sz w:val="22"/>
          <w:szCs w:val="22"/>
          <w:highlight w:val="darkGray"/>
        </w:rPr>
      </w:pPr>
      <w:r w:rsidRPr="00182E11">
        <w:rPr>
          <w:rFonts w:asciiTheme="minorHAnsi" w:hAnsiTheme="minorHAnsi" w:cstheme="minorHAnsi"/>
          <w:color w:val="FFFFFF" w:themeColor="background1"/>
          <w:sz w:val="22"/>
          <w:szCs w:val="22"/>
          <w:highlight w:val="darkGray"/>
        </w:rPr>
        <w:t xml:space="preserve">Κύρια νομοθεσία: </w:t>
      </w:r>
    </w:p>
    <w:p w:rsidR="00A078FF" w:rsidRPr="006267BC"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rPr>
        <w:t xml:space="preserve">            </w:t>
      </w:r>
      <w:r w:rsidRPr="006267BC">
        <w:rPr>
          <w:rFonts w:asciiTheme="minorHAnsi" w:hAnsiTheme="minorHAnsi" w:cstheme="minorHAnsi"/>
          <w:sz w:val="22"/>
          <w:szCs w:val="22"/>
          <w:lang w:val="en-US"/>
        </w:rPr>
        <w:t>N</w:t>
      </w:r>
      <w:r w:rsidRPr="006267BC">
        <w:rPr>
          <w:rFonts w:asciiTheme="minorHAnsi" w:hAnsiTheme="minorHAnsi" w:cstheme="minorHAnsi"/>
          <w:sz w:val="22"/>
          <w:szCs w:val="22"/>
        </w:rPr>
        <w:t>. 4619/2019 (ΦΕΚ Α΄95) «</w:t>
      </w:r>
      <w:r w:rsidRPr="006267BC">
        <w:rPr>
          <w:rFonts w:asciiTheme="minorHAnsi" w:hAnsiTheme="minorHAnsi" w:cstheme="minorHAnsi"/>
          <w:i/>
          <w:sz w:val="22"/>
          <w:szCs w:val="22"/>
        </w:rPr>
        <w:t>Κύρωση του Ποινικού Κώδικα»</w:t>
      </w:r>
      <w:r w:rsidRPr="006267BC">
        <w:rPr>
          <w:rFonts w:asciiTheme="minorHAnsi" w:hAnsiTheme="minorHAnsi" w:cstheme="minorHAnsi"/>
          <w:sz w:val="22"/>
          <w:szCs w:val="22"/>
        </w:rPr>
        <w:t xml:space="preserve">.   </w:t>
      </w:r>
    </w:p>
    <w:p w:rsidR="007F5499" w:rsidRDefault="00A078FF" w:rsidP="007F5499">
      <w:pPr>
        <w:jc w:val="both"/>
        <w:rPr>
          <w:rFonts w:asciiTheme="minorHAnsi" w:hAnsiTheme="minorHAnsi" w:cstheme="minorHAnsi"/>
          <w:sz w:val="22"/>
          <w:szCs w:val="22"/>
        </w:rPr>
      </w:pPr>
      <w:r w:rsidRPr="006267BC">
        <w:rPr>
          <w:rFonts w:asciiTheme="minorHAnsi" w:hAnsiTheme="minorHAnsi" w:cstheme="minorHAnsi"/>
          <w:sz w:val="22"/>
          <w:szCs w:val="22"/>
        </w:rPr>
        <w:t xml:space="preserve">            Π.Δ. 456/1984 Αστικό Δίκαιο</w:t>
      </w:r>
    </w:p>
    <w:p w:rsidR="00A078FF" w:rsidRPr="006267BC" w:rsidRDefault="007F5499" w:rsidP="007F5499">
      <w:pPr>
        <w:jc w:val="both"/>
        <w:rPr>
          <w:rFonts w:asciiTheme="minorHAnsi" w:hAnsiTheme="minorHAnsi" w:cstheme="minorHAnsi"/>
          <w:i/>
          <w:sz w:val="22"/>
          <w:szCs w:val="22"/>
        </w:rPr>
      </w:pPr>
      <w:r w:rsidRPr="007F5499">
        <w:rPr>
          <w:rFonts w:asciiTheme="minorHAnsi" w:hAnsiTheme="minorHAnsi" w:cstheme="minorHAnsi"/>
          <w:sz w:val="22"/>
          <w:szCs w:val="22"/>
        </w:rPr>
        <w:t xml:space="preserve">            </w:t>
      </w:r>
      <w:r w:rsidR="00A078FF" w:rsidRPr="006267BC">
        <w:rPr>
          <w:rFonts w:asciiTheme="minorHAnsi" w:hAnsiTheme="minorHAnsi" w:cstheme="minorHAnsi"/>
          <w:sz w:val="22"/>
          <w:szCs w:val="22"/>
        </w:rPr>
        <w:t xml:space="preserve">Ν. 2725/1999 (ΦΕΚ Α΄121), </w:t>
      </w:r>
      <w:proofErr w:type="spellStart"/>
      <w:r w:rsidR="00A078FF" w:rsidRPr="006267BC">
        <w:rPr>
          <w:rFonts w:asciiTheme="minorHAnsi" w:hAnsiTheme="minorHAnsi" w:cstheme="minorHAnsi"/>
          <w:sz w:val="22"/>
          <w:szCs w:val="22"/>
        </w:rPr>
        <w:t>αρ</w:t>
      </w:r>
      <w:proofErr w:type="spellEnd"/>
      <w:r w:rsidR="00A078FF" w:rsidRPr="006267BC">
        <w:rPr>
          <w:rFonts w:asciiTheme="minorHAnsi" w:hAnsiTheme="minorHAnsi" w:cstheme="minorHAnsi"/>
          <w:sz w:val="22"/>
          <w:szCs w:val="22"/>
        </w:rPr>
        <w:t>. 3</w:t>
      </w:r>
      <w:r w:rsidR="00A078FF" w:rsidRPr="006267BC">
        <w:rPr>
          <w:rFonts w:asciiTheme="minorHAnsi" w:hAnsiTheme="minorHAnsi" w:cstheme="minorHAnsi"/>
          <w:b/>
          <w:bCs/>
          <w:color w:val="000000"/>
          <w:sz w:val="22"/>
          <w:szCs w:val="22"/>
          <w:shd w:val="clear" w:color="auto" w:fill="FFFFFF"/>
        </w:rPr>
        <w:t xml:space="preserve"> «</w:t>
      </w:r>
      <w:r w:rsidR="00A078FF" w:rsidRPr="006267BC">
        <w:rPr>
          <w:rFonts w:asciiTheme="minorHAnsi" w:hAnsiTheme="minorHAnsi" w:cstheme="minorHAnsi"/>
          <w:i/>
          <w:sz w:val="22"/>
          <w:szCs w:val="22"/>
        </w:rPr>
        <w:t xml:space="preserve">Ερασιτεχνικός και επαγγελματικός αθλητισμός </w:t>
      </w:r>
      <w:proofErr w:type="spellStart"/>
      <w:r w:rsidR="00A078FF" w:rsidRPr="006267BC">
        <w:rPr>
          <w:rFonts w:asciiTheme="minorHAnsi" w:hAnsiTheme="minorHAnsi" w:cstheme="minorHAnsi"/>
          <w:i/>
          <w:sz w:val="22"/>
          <w:szCs w:val="22"/>
        </w:rPr>
        <w:t>καιάλλες</w:t>
      </w:r>
      <w:proofErr w:type="spellEnd"/>
      <w:r w:rsidR="00A078FF" w:rsidRPr="006267BC">
        <w:rPr>
          <w:rFonts w:asciiTheme="minorHAnsi" w:hAnsiTheme="minorHAnsi" w:cstheme="minorHAnsi"/>
          <w:i/>
          <w:sz w:val="22"/>
          <w:szCs w:val="22"/>
        </w:rPr>
        <w:t xml:space="preserve"> διατάξεις.»</w:t>
      </w:r>
    </w:p>
    <w:p w:rsidR="00A078FF" w:rsidRPr="007F5499" w:rsidRDefault="00A078FF" w:rsidP="007F5499">
      <w:pPr>
        <w:ind w:left="720"/>
        <w:jc w:val="both"/>
        <w:rPr>
          <w:rFonts w:asciiTheme="minorHAnsi" w:hAnsiTheme="minorHAnsi" w:cstheme="minorHAnsi"/>
          <w:color w:val="FFFFFF" w:themeColor="background1"/>
          <w:sz w:val="22"/>
          <w:szCs w:val="22"/>
          <w:highlight w:val="lightGray"/>
        </w:rPr>
      </w:pPr>
    </w:p>
    <w:p w:rsidR="00A078FF" w:rsidRPr="00182E11" w:rsidRDefault="00A078FF" w:rsidP="007F5499">
      <w:pPr>
        <w:numPr>
          <w:ilvl w:val="0"/>
          <w:numId w:val="2"/>
        </w:numPr>
        <w:jc w:val="both"/>
        <w:rPr>
          <w:rFonts w:asciiTheme="minorHAnsi" w:hAnsiTheme="minorHAnsi" w:cstheme="minorHAnsi"/>
          <w:color w:val="FFFFFF" w:themeColor="background1"/>
          <w:sz w:val="22"/>
          <w:szCs w:val="22"/>
          <w:highlight w:val="darkGray"/>
        </w:rPr>
      </w:pPr>
      <w:r w:rsidRPr="00182E11">
        <w:rPr>
          <w:rFonts w:asciiTheme="minorHAnsi" w:hAnsiTheme="minorHAnsi" w:cstheme="minorHAnsi"/>
          <w:color w:val="FFFFFF" w:themeColor="background1"/>
          <w:sz w:val="22"/>
          <w:szCs w:val="22"/>
          <w:highlight w:val="darkGray"/>
        </w:rPr>
        <w:t xml:space="preserve">Νομοθεσία για τον περιορισμό των σεξουαλικών αδικημάτων: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Ν.4267/2014 (ΦΕΚ Α΄137)</w:t>
      </w:r>
      <w:r w:rsidRPr="006267BC">
        <w:rPr>
          <w:rFonts w:asciiTheme="minorHAnsi" w:hAnsiTheme="minorHAnsi" w:cstheme="minorHAnsi"/>
          <w:i/>
          <w:sz w:val="22"/>
          <w:szCs w:val="22"/>
        </w:rPr>
        <w:t xml:space="preserve"> «Καταπολέμηση της σεξουαλικής κακοποίησης και εκμετάλλευσης παιδιών και της παιδικής πορνογραφίας και άλλες διατάξεις»</w:t>
      </w:r>
      <w:r w:rsidRPr="006267BC">
        <w:rPr>
          <w:rFonts w:asciiTheme="minorHAnsi" w:hAnsiTheme="minorHAnsi" w:cstheme="minorHAnsi"/>
          <w:sz w:val="22"/>
          <w:szCs w:val="22"/>
        </w:rPr>
        <w:t>.</w:t>
      </w:r>
    </w:p>
    <w:p w:rsidR="00A078FF" w:rsidRPr="007F5499" w:rsidRDefault="00A078FF" w:rsidP="007F5499">
      <w:pPr>
        <w:ind w:left="720"/>
        <w:jc w:val="both"/>
        <w:rPr>
          <w:rFonts w:asciiTheme="minorHAnsi" w:hAnsiTheme="minorHAnsi" w:cstheme="minorHAnsi"/>
          <w:color w:val="FFFFFF" w:themeColor="background1"/>
          <w:sz w:val="22"/>
          <w:szCs w:val="22"/>
          <w:highlight w:val="lightGray"/>
        </w:rPr>
      </w:pPr>
    </w:p>
    <w:p w:rsidR="007F5499" w:rsidRPr="00182E11" w:rsidRDefault="00A078FF" w:rsidP="007F5499">
      <w:pPr>
        <w:numPr>
          <w:ilvl w:val="0"/>
          <w:numId w:val="2"/>
        </w:numPr>
        <w:jc w:val="both"/>
        <w:rPr>
          <w:rFonts w:asciiTheme="minorHAnsi" w:hAnsiTheme="minorHAnsi" w:cstheme="minorHAnsi"/>
          <w:color w:val="FFFFFF" w:themeColor="background1"/>
          <w:sz w:val="22"/>
          <w:szCs w:val="22"/>
          <w:highlight w:val="darkGray"/>
        </w:rPr>
      </w:pPr>
      <w:r w:rsidRPr="00182E11">
        <w:rPr>
          <w:rFonts w:asciiTheme="minorHAnsi" w:hAnsiTheme="minorHAnsi" w:cstheme="minorHAnsi"/>
          <w:color w:val="FFFFFF" w:themeColor="background1"/>
          <w:sz w:val="22"/>
          <w:szCs w:val="22"/>
          <w:highlight w:val="darkGray"/>
        </w:rPr>
        <w:t xml:space="preserve">Ποινικές κυρώσεις: </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lang w:val="en-US"/>
        </w:rPr>
        <w:t>N</w:t>
      </w:r>
      <w:r w:rsidRPr="006267BC">
        <w:rPr>
          <w:rFonts w:asciiTheme="minorHAnsi" w:hAnsiTheme="minorHAnsi" w:cstheme="minorHAnsi"/>
          <w:sz w:val="22"/>
          <w:szCs w:val="22"/>
        </w:rPr>
        <w:t>. 4619/2019 (ΦΕΚ Α΄95) «</w:t>
      </w:r>
      <w:r w:rsidRPr="006267BC">
        <w:rPr>
          <w:rFonts w:asciiTheme="minorHAnsi" w:hAnsiTheme="minorHAnsi" w:cstheme="minorHAnsi"/>
          <w:i/>
          <w:sz w:val="22"/>
          <w:szCs w:val="22"/>
        </w:rPr>
        <w:t>Κύρωση του Ποινικού Κώδικα»</w:t>
      </w:r>
      <w:r w:rsidRPr="006267BC">
        <w:rPr>
          <w:rFonts w:asciiTheme="minorHAnsi" w:hAnsiTheme="minorHAnsi" w:cstheme="minorHAnsi"/>
          <w:sz w:val="22"/>
          <w:szCs w:val="22"/>
        </w:rPr>
        <w:t xml:space="preserve">, </w:t>
      </w:r>
      <w:r w:rsidRPr="006267BC">
        <w:rPr>
          <w:rFonts w:asciiTheme="minorHAnsi" w:hAnsiTheme="minorHAnsi" w:cstheme="minorHAnsi"/>
          <w:i/>
          <w:sz w:val="22"/>
          <w:szCs w:val="22"/>
        </w:rPr>
        <w:t>άρθρα 312, 324, 342, 348, 348Α, 348Β, 348Γ, 351Α, 352Α, 352</w:t>
      </w:r>
      <w:proofErr w:type="gramStart"/>
      <w:r w:rsidRPr="006267BC">
        <w:rPr>
          <w:rFonts w:asciiTheme="minorHAnsi" w:hAnsiTheme="minorHAnsi" w:cstheme="minorHAnsi"/>
          <w:i/>
          <w:sz w:val="22"/>
          <w:szCs w:val="22"/>
        </w:rPr>
        <w:t>Β ,</w:t>
      </w:r>
      <w:proofErr w:type="gramEnd"/>
      <w:r w:rsidRPr="006267BC">
        <w:rPr>
          <w:rFonts w:asciiTheme="minorHAnsi" w:hAnsiTheme="minorHAnsi" w:cstheme="minorHAnsi"/>
          <w:i/>
          <w:sz w:val="22"/>
          <w:szCs w:val="22"/>
        </w:rPr>
        <w:t xml:space="preserve"> καθώς και </w:t>
      </w:r>
      <w:r w:rsidRPr="006267BC">
        <w:rPr>
          <w:rFonts w:asciiTheme="minorHAnsi" w:hAnsiTheme="minorHAnsi" w:cstheme="minorHAnsi"/>
          <w:sz w:val="22"/>
          <w:szCs w:val="22"/>
        </w:rPr>
        <w:t xml:space="preserve">Π.Δ. 456/1984 </w:t>
      </w:r>
      <w:r w:rsidRPr="006267BC">
        <w:rPr>
          <w:rFonts w:asciiTheme="minorHAnsi" w:hAnsiTheme="minorHAnsi" w:cstheme="minorHAnsi"/>
          <w:i/>
          <w:sz w:val="22"/>
          <w:szCs w:val="22"/>
        </w:rPr>
        <w:t xml:space="preserve"> Αστικός κώδικας,  άρθρο 1532 </w:t>
      </w:r>
      <w:proofErr w:type="spellStart"/>
      <w:r w:rsidRPr="006267BC">
        <w:rPr>
          <w:rFonts w:asciiTheme="minorHAnsi" w:hAnsiTheme="minorHAnsi" w:cstheme="minorHAnsi"/>
          <w:i/>
          <w:sz w:val="22"/>
          <w:szCs w:val="22"/>
        </w:rPr>
        <w:t>επ</w:t>
      </w:r>
      <w:proofErr w:type="spellEnd"/>
      <w:r w:rsidRPr="006267BC">
        <w:rPr>
          <w:rFonts w:asciiTheme="minorHAnsi" w:hAnsiTheme="minorHAnsi" w:cstheme="minorHAnsi"/>
          <w:i/>
          <w:sz w:val="22"/>
          <w:szCs w:val="22"/>
        </w:rPr>
        <w:t xml:space="preserve">. </w:t>
      </w:r>
    </w:p>
    <w:p w:rsidR="00A078FF" w:rsidRPr="007F5499" w:rsidRDefault="00A078FF" w:rsidP="007F5499">
      <w:pPr>
        <w:ind w:left="720"/>
        <w:jc w:val="both"/>
        <w:rPr>
          <w:rFonts w:asciiTheme="minorHAnsi" w:hAnsiTheme="minorHAnsi" w:cstheme="minorHAnsi"/>
          <w:color w:val="FFFFFF" w:themeColor="background1"/>
          <w:sz w:val="22"/>
          <w:szCs w:val="22"/>
          <w:highlight w:val="lightGray"/>
        </w:rPr>
      </w:pPr>
    </w:p>
    <w:p w:rsidR="00A078FF" w:rsidRPr="00182E11" w:rsidRDefault="00A078FF" w:rsidP="007F5499">
      <w:pPr>
        <w:numPr>
          <w:ilvl w:val="0"/>
          <w:numId w:val="2"/>
        </w:numPr>
        <w:jc w:val="both"/>
        <w:rPr>
          <w:rFonts w:asciiTheme="minorHAnsi" w:hAnsiTheme="minorHAnsi" w:cstheme="minorHAnsi"/>
          <w:color w:val="FFFFFF" w:themeColor="background1"/>
          <w:sz w:val="22"/>
          <w:szCs w:val="22"/>
          <w:highlight w:val="darkGray"/>
        </w:rPr>
      </w:pPr>
      <w:r w:rsidRPr="00182E11">
        <w:rPr>
          <w:rFonts w:asciiTheme="minorHAnsi" w:hAnsiTheme="minorHAnsi" w:cstheme="minorHAnsi"/>
          <w:color w:val="FFFFFF" w:themeColor="background1"/>
          <w:sz w:val="22"/>
          <w:szCs w:val="22"/>
          <w:highlight w:val="darkGray"/>
        </w:rPr>
        <w:t>Κυβερνητικές / νομοθετικές οδηγίες:</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Ν. 2101/1992 (ΦΕΚ Α΄192) «</w:t>
      </w:r>
      <w:r w:rsidRPr="006267BC">
        <w:rPr>
          <w:rFonts w:asciiTheme="minorHAnsi" w:hAnsiTheme="minorHAnsi" w:cstheme="minorHAnsi"/>
          <w:i/>
          <w:sz w:val="22"/>
          <w:szCs w:val="22"/>
        </w:rPr>
        <w:t xml:space="preserve">Κύρωση της Διεθνούς Σύμβασης για τα Δικαιώματα του Παιδιού που </w:t>
      </w:r>
      <w:proofErr w:type="spellStart"/>
      <w:r w:rsidRPr="006267BC">
        <w:rPr>
          <w:rFonts w:asciiTheme="minorHAnsi" w:hAnsiTheme="minorHAnsi" w:cstheme="minorHAnsi"/>
          <w:i/>
          <w:sz w:val="22"/>
          <w:szCs w:val="22"/>
        </w:rPr>
        <w:t>συνομολογήθηκε</w:t>
      </w:r>
      <w:proofErr w:type="spellEnd"/>
      <w:r w:rsidRPr="006267BC">
        <w:rPr>
          <w:rFonts w:asciiTheme="minorHAnsi" w:hAnsiTheme="minorHAnsi" w:cstheme="minorHAnsi"/>
          <w:i/>
          <w:sz w:val="22"/>
          <w:szCs w:val="22"/>
        </w:rPr>
        <w:t xml:space="preserve"> το 1989 από τη Γενική Συνέλευση των Ηνωμένων Εθνών αποτελεί από το 1992.</w:t>
      </w:r>
      <w:r w:rsidRPr="006267BC">
        <w:rPr>
          <w:rFonts w:asciiTheme="minorHAnsi" w:hAnsiTheme="minorHAnsi" w:cstheme="minorHAnsi"/>
          <w:sz w:val="22"/>
          <w:szCs w:val="22"/>
        </w:rPr>
        <w:t>»</w:t>
      </w:r>
    </w:p>
    <w:p w:rsidR="00A078FF" w:rsidRPr="006267BC" w:rsidRDefault="00A078FF" w:rsidP="007F5499">
      <w:pPr>
        <w:ind w:left="720"/>
        <w:jc w:val="both"/>
        <w:rPr>
          <w:rFonts w:asciiTheme="minorHAnsi" w:hAnsiTheme="minorHAnsi" w:cstheme="minorHAnsi"/>
          <w:color w:val="FF0000"/>
          <w:sz w:val="22"/>
          <w:szCs w:val="22"/>
        </w:rPr>
      </w:pPr>
      <w:r w:rsidRPr="006267BC">
        <w:rPr>
          <w:rFonts w:asciiTheme="minorHAnsi" w:hAnsiTheme="minorHAnsi" w:cstheme="minorHAnsi"/>
          <w:sz w:val="22"/>
          <w:szCs w:val="22"/>
        </w:rPr>
        <w:t>Ν. 3625/2007 (ΦΕΚ Α΄290)</w:t>
      </w:r>
      <w:r w:rsidRPr="006267BC">
        <w:rPr>
          <w:rFonts w:asciiTheme="minorHAnsi" w:hAnsiTheme="minorHAnsi" w:cstheme="minorHAnsi"/>
          <w:b/>
          <w:bCs/>
          <w:color w:val="000000"/>
          <w:sz w:val="22"/>
          <w:szCs w:val="22"/>
          <w:shd w:val="clear" w:color="auto" w:fill="FFFFFF"/>
        </w:rPr>
        <w:t xml:space="preserve"> «</w:t>
      </w:r>
      <w:r w:rsidRPr="006267BC">
        <w:rPr>
          <w:rFonts w:asciiTheme="minorHAnsi" w:hAnsiTheme="minorHAnsi" w:cstheme="minorHAnsi"/>
          <w:i/>
          <w:sz w:val="22"/>
          <w:szCs w:val="22"/>
        </w:rPr>
        <w:t>Κύρωση, εφαρμογή του Προαιρετικού Πρωτοκόλλου στη Σύμβαση για τα Δικαιώματα του Παιδιού σχετικά με την εμπορία παιδιών, την παιδική πορνεία και παιδική πορνογραφία και άλλες διατάξεις.</w:t>
      </w:r>
      <w:r w:rsidRPr="006267BC">
        <w:rPr>
          <w:rFonts w:asciiTheme="minorHAnsi" w:hAnsiTheme="minorHAnsi" w:cstheme="minorHAnsi"/>
          <w:sz w:val="22"/>
          <w:szCs w:val="22"/>
        </w:rPr>
        <w:t>»</w:t>
      </w:r>
      <w:r w:rsidRPr="006267BC">
        <w:rPr>
          <w:rFonts w:asciiTheme="minorHAnsi" w:hAnsiTheme="minorHAnsi" w:cstheme="minorHAnsi"/>
          <w:color w:val="FF0000"/>
          <w:sz w:val="22"/>
          <w:szCs w:val="22"/>
        </w:rPr>
        <w:t xml:space="preserve">  </w:t>
      </w:r>
    </w:p>
    <w:p w:rsidR="00A078FF" w:rsidRPr="006267BC" w:rsidRDefault="00A078FF" w:rsidP="007F5499">
      <w:pPr>
        <w:ind w:left="720"/>
        <w:jc w:val="both"/>
        <w:rPr>
          <w:rFonts w:asciiTheme="minorHAnsi" w:hAnsiTheme="minorHAnsi" w:cstheme="minorHAnsi"/>
          <w:i/>
          <w:sz w:val="22"/>
          <w:szCs w:val="22"/>
        </w:rPr>
      </w:pPr>
      <w:r w:rsidRPr="006267BC">
        <w:rPr>
          <w:rFonts w:asciiTheme="minorHAnsi" w:hAnsiTheme="minorHAnsi" w:cstheme="minorHAnsi"/>
          <w:sz w:val="22"/>
          <w:szCs w:val="22"/>
        </w:rPr>
        <w:t>Ν. 3727/2008 (ΦΕΚ Α΄257)</w:t>
      </w:r>
      <w:r w:rsidRPr="006267BC">
        <w:rPr>
          <w:rFonts w:asciiTheme="minorHAnsi" w:hAnsiTheme="minorHAnsi" w:cstheme="minorHAnsi"/>
          <w:b/>
          <w:bCs/>
          <w:color w:val="000000"/>
          <w:sz w:val="22"/>
          <w:szCs w:val="22"/>
          <w:shd w:val="clear" w:color="auto" w:fill="FFFFFF"/>
        </w:rPr>
        <w:t xml:space="preserve"> «</w:t>
      </w:r>
      <w:r w:rsidRPr="006267BC">
        <w:rPr>
          <w:rFonts w:asciiTheme="minorHAnsi" w:hAnsiTheme="minorHAnsi" w:cstheme="minorHAnsi"/>
          <w:i/>
          <w:sz w:val="22"/>
          <w:szCs w:val="22"/>
        </w:rPr>
        <w:t xml:space="preserve">Κύρωση και εφαρμογή της Σύμβασης του Συμβουλίου της Ευρώπης για την προστασία των παιδιών κατά της Γενετήσιας </w:t>
      </w:r>
      <w:proofErr w:type="spellStart"/>
      <w:r w:rsidRPr="006267BC">
        <w:rPr>
          <w:rFonts w:asciiTheme="minorHAnsi" w:hAnsiTheme="minorHAnsi" w:cstheme="minorHAnsi"/>
          <w:i/>
          <w:sz w:val="22"/>
          <w:szCs w:val="22"/>
        </w:rPr>
        <w:t>εκμετάλευσης</w:t>
      </w:r>
      <w:proofErr w:type="spellEnd"/>
      <w:r w:rsidRPr="006267BC">
        <w:rPr>
          <w:rFonts w:asciiTheme="minorHAnsi" w:hAnsiTheme="minorHAnsi" w:cstheme="minorHAnsi"/>
          <w:i/>
          <w:sz w:val="22"/>
          <w:szCs w:val="22"/>
        </w:rPr>
        <w:t xml:space="preserve"> και κακοποίησης, μέτρα για τη βελτίωση των συνθηκών διαβίωσης και την αποσυμφόρηση των καταστημάτων κράτησης»</w:t>
      </w:r>
      <w:r w:rsidRPr="006267BC">
        <w:rPr>
          <w:rFonts w:asciiTheme="minorHAnsi" w:hAnsiTheme="minorHAnsi" w:cstheme="minorHAnsi"/>
          <w:b/>
          <w:bCs/>
          <w:color w:val="000000"/>
          <w:sz w:val="22"/>
          <w:szCs w:val="22"/>
          <w:shd w:val="clear" w:color="auto" w:fill="FFFFFF"/>
        </w:rPr>
        <w:t xml:space="preserve"> </w:t>
      </w:r>
      <w:r w:rsidRPr="006267BC">
        <w:rPr>
          <w:rFonts w:asciiTheme="minorHAnsi" w:hAnsiTheme="minorHAnsi" w:cstheme="minorHAnsi"/>
          <w:i/>
          <w:sz w:val="22"/>
          <w:szCs w:val="22"/>
        </w:rPr>
        <w:t>(</w:t>
      </w:r>
      <w:proofErr w:type="spellStart"/>
      <w:r w:rsidRPr="006267BC">
        <w:rPr>
          <w:rFonts w:asciiTheme="minorHAnsi" w:hAnsiTheme="minorHAnsi" w:cstheme="minorHAnsi"/>
          <w:i/>
          <w:sz w:val="22"/>
          <w:szCs w:val="22"/>
        </w:rPr>
        <w:t>Lanzarote</w:t>
      </w:r>
      <w:proofErr w:type="spellEnd"/>
      <w:r w:rsidRPr="006267BC">
        <w:rPr>
          <w:rFonts w:asciiTheme="minorHAnsi" w:hAnsiTheme="minorHAnsi" w:cstheme="minorHAnsi"/>
          <w:i/>
          <w:sz w:val="22"/>
          <w:szCs w:val="22"/>
        </w:rPr>
        <w:t>, 2007).</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 xml:space="preserve">Ν.4267/2014 (ΦΕΚ Α΄137) </w:t>
      </w:r>
      <w:r w:rsidRPr="006267BC">
        <w:rPr>
          <w:rFonts w:asciiTheme="minorHAnsi" w:hAnsiTheme="minorHAnsi" w:cstheme="minorHAnsi"/>
          <w:i/>
          <w:sz w:val="22"/>
          <w:szCs w:val="22"/>
        </w:rPr>
        <w:t>«Καταπολέμηση της σεξουαλικής κακοποίησης και εκμετάλλευσης παιδιών και της παιδικής πορνογραφίας και άλλες διατάξεις»</w:t>
      </w:r>
      <w:r w:rsidRPr="006267BC">
        <w:rPr>
          <w:rFonts w:asciiTheme="minorHAnsi" w:hAnsiTheme="minorHAnsi" w:cstheme="minorHAnsi"/>
          <w:sz w:val="22"/>
          <w:szCs w:val="22"/>
        </w:rPr>
        <w:t>, εναρμόνιση της ελληνικής νομοθεσίας με την Οδηγία 2011/93/ΕΕ του Ευρωπαϊκού Κοινοβουλίου και του Συμβουλίου</w:t>
      </w:r>
    </w:p>
    <w:p w:rsidR="00A078FF" w:rsidRPr="007F5499" w:rsidRDefault="00A078FF" w:rsidP="007F5499">
      <w:pPr>
        <w:ind w:left="720"/>
        <w:jc w:val="both"/>
        <w:rPr>
          <w:rFonts w:asciiTheme="minorHAnsi" w:hAnsiTheme="minorHAnsi" w:cstheme="minorHAnsi"/>
          <w:color w:val="FFFFFF" w:themeColor="background1"/>
          <w:sz w:val="22"/>
          <w:szCs w:val="22"/>
          <w:highlight w:val="lightGray"/>
        </w:rPr>
      </w:pPr>
    </w:p>
    <w:p w:rsidR="00A078FF" w:rsidRPr="00182E11" w:rsidRDefault="00A078FF" w:rsidP="007F5499">
      <w:pPr>
        <w:numPr>
          <w:ilvl w:val="0"/>
          <w:numId w:val="2"/>
        </w:numPr>
        <w:jc w:val="both"/>
        <w:rPr>
          <w:rFonts w:asciiTheme="minorHAnsi" w:hAnsiTheme="minorHAnsi" w:cstheme="minorHAnsi"/>
          <w:color w:val="FFFFFF" w:themeColor="background1"/>
          <w:sz w:val="22"/>
          <w:szCs w:val="22"/>
          <w:highlight w:val="darkGray"/>
        </w:rPr>
      </w:pPr>
      <w:r w:rsidRPr="00182E11">
        <w:rPr>
          <w:rFonts w:asciiTheme="minorHAnsi" w:hAnsiTheme="minorHAnsi" w:cstheme="minorHAnsi"/>
          <w:color w:val="FFFFFF" w:themeColor="background1"/>
          <w:sz w:val="22"/>
          <w:szCs w:val="22"/>
          <w:highlight w:val="darkGray"/>
        </w:rPr>
        <w:t>Οδηγίες για πρότυπα στον επαγγελματικό - εθελοντικό τομέα:</w:t>
      </w:r>
    </w:p>
    <w:p w:rsidR="00A078FF" w:rsidRPr="006267BC"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Ινστιτούτο Υγείας του Παιδιού: Ολοκληρωμένη Προσέγγιση για τη Διερεύνηση, Διάγνωση και Διαχείριση Περιστατικών Κακοποίησης &amp; Παραμέλησης Παιδιών - Πρωτόκολλο Διερεύνησης, Διάγνωσης και Διαχείρισης Κακοποίησης και Παραμέλησης Παιδιών (</w:t>
      </w:r>
      <w:proofErr w:type="spellStart"/>
      <w:r w:rsidRPr="006267BC">
        <w:rPr>
          <w:rFonts w:asciiTheme="minorHAnsi" w:hAnsiTheme="minorHAnsi" w:cstheme="minorHAnsi"/>
          <w:sz w:val="22"/>
          <w:szCs w:val="22"/>
        </w:rPr>
        <w:t>ΚαΠα</w:t>
      </w:r>
      <w:proofErr w:type="spellEnd"/>
      <w:r w:rsidRPr="006267BC">
        <w:rPr>
          <w:rFonts w:asciiTheme="minorHAnsi" w:hAnsiTheme="minorHAnsi" w:cstheme="minorHAnsi"/>
          <w:sz w:val="22"/>
          <w:szCs w:val="22"/>
        </w:rPr>
        <w:t xml:space="preserve">-Π) </w:t>
      </w:r>
    </w:p>
    <w:p w:rsidR="00A078FF" w:rsidRPr="006267BC" w:rsidRDefault="00557297" w:rsidP="007F5499">
      <w:pPr>
        <w:ind w:left="720"/>
        <w:rPr>
          <w:rFonts w:asciiTheme="minorHAnsi" w:hAnsiTheme="minorHAnsi" w:cstheme="minorHAnsi"/>
          <w:sz w:val="22"/>
          <w:szCs w:val="22"/>
          <w:highlight w:val="cyan"/>
        </w:rPr>
      </w:pPr>
      <w:hyperlink r:id="rId8" w:history="1">
        <w:r w:rsidR="00A078FF" w:rsidRPr="006267BC">
          <w:rPr>
            <w:rStyle w:val="-"/>
            <w:rFonts w:asciiTheme="minorHAnsi" w:hAnsiTheme="minorHAnsi" w:cstheme="minorHAnsi"/>
            <w:sz w:val="22"/>
            <w:szCs w:val="22"/>
          </w:rPr>
          <w:t>https://www.especial.gr/wp-content/uploads/2019/12/prwtokollo-dierevnisis.pdf</w:t>
        </w:r>
      </w:hyperlink>
    </w:p>
    <w:p w:rsidR="00A078FF" w:rsidRPr="007F5499" w:rsidRDefault="00A078FF" w:rsidP="007F5499">
      <w:pPr>
        <w:ind w:left="720"/>
        <w:jc w:val="both"/>
        <w:rPr>
          <w:rFonts w:asciiTheme="minorHAnsi" w:hAnsiTheme="minorHAnsi" w:cstheme="minorHAnsi"/>
          <w:color w:val="FFFFFF" w:themeColor="background1"/>
          <w:sz w:val="22"/>
          <w:szCs w:val="22"/>
          <w:highlight w:val="lightGray"/>
        </w:rPr>
      </w:pPr>
    </w:p>
    <w:p w:rsidR="00A078FF" w:rsidRPr="00182E11" w:rsidRDefault="00A078FF" w:rsidP="007F5499">
      <w:pPr>
        <w:numPr>
          <w:ilvl w:val="0"/>
          <w:numId w:val="2"/>
        </w:numPr>
        <w:jc w:val="both"/>
        <w:rPr>
          <w:rFonts w:asciiTheme="minorHAnsi" w:hAnsiTheme="minorHAnsi" w:cstheme="minorHAnsi"/>
          <w:color w:val="FFFFFF" w:themeColor="background1"/>
          <w:sz w:val="22"/>
          <w:szCs w:val="22"/>
          <w:highlight w:val="darkGray"/>
        </w:rPr>
      </w:pPr>
      <w:r w:rsidRPr="00182E11">
        <w:rPr>
          <w:rFonts w:asciiTheme="minorHAnsi" w:hAnsiTheme="minorHAnsi" w:cstheme="minorHAnsi"/>
          <w:color w:val="FFFFFF" w:themeColor="background1"/>
          <w:sz w:val="22"/>
          <w:szCs w:val="22"/>
          <w:highlight w:val="darkGray"/>
        </w:rPr>
        <w:t>Πλαίσια αθλητικής διακυβέρνησης και ακεραιότητας:</w:t>
      </w:r>
    </w:p>
    <w:p w:rsidR="00A078FF" w:rsidRDefault="00A078FF" w:rsidP="007F5499">
      <w:pPr>
        <w:ind w:left="720"/>
        <w:jc w:val="both"/>
        <w:rPr>
          <w:rFonts w:asciiTheme="minorHAnsi" w:hAnsiTheme="minorHAnsi" w:cstheme="minorHAnsi"/>
          <w:sz w:val="22"/>
          <w:szCs w:val="22"/>
        </w:rPr>
      </w:pPr>
      <w:r w:rsidRPr="006267BC">
        <w:rPr>
          <w:rFonts w:asciiTheme="minorHAnsi" w:hAnsiTheme="minorHAnsi" w:cstheme="minorHAnsi"/>
          <w:sz w:val="22"/>
          <w:szCs w:val="22"/>
        </w:rPr>
        <w:t>-</w:t>
      </w:r>
    </w:p>
    <w:p w:rsidR="0083716B" w:rsidRDefault="0083716B" w:rsidP="007F5499">
      <w:pPr>
        <w:ind w:left="720"/>
        <w:jc w:val="both"/>
        <w:rPr>
          <w:rFonts w:asciiTheme="minorHAnsi" w:hAnsiTheme="minorHAnsi" w:cstheme="minorHAnsi"/>
          <w:color w:val="005024"/>
          <w:sz w:val="22"/>
          <w:szCs w:val="22"/>
        </w:rPr>
      </w:pPr>
    </w:p>
    <w:p w:rsidR="00BB5B10" w:rsidRDefault="00BB5B10" w:rsidP="007F5499">
      <w:pPr>
        <w:ind w:left="720"/>
        <w:jc w:val="both"/>
        <w:rPr>
          <w:rFonts w:asciiTheme="minorHAnsi" w:hAnsiTheme="minorHAnsi" w:cstheme="minorHAnsi"/>
          <w:color w:val="005024"/>
          <w:sz w:val="22"/>
          <w:szCs w:val="22"/>
        </w:rPr>
      </w:pPr>
    </w:p>
    <w:p w:rsidR="00BB5B10" w:rsidRPr="0083716B" w:rsidRDefault="00BB5B10" w:rsidP="007F5499">
      <w:pPr>
        <w:ind w:left="720"/>
        <w:jc w:val="both"/>
        <w:rPr>
          <w:rFonts w:asciiTheme="minorHAnsi" w:hAnsiTheme="minorHAnsi" w:cstheme="minorHAnsi"/>
          <w:color w:val="005024"/>
          <w:sz w:val="22"/>
          <w:szCs w:val="22"/>
        </w:rPr>
      </w:pPr>
    </w:p>
    <w:p w:rsidR="00A078FF" w:rsidRPr="0083716B" w:rsidRDefault="00A078FF" w:rsidP="00BF41DA">
      <w:pPr>
        <w:numPr>
          <w:ilvl w:val="0"/>
          <w:numId w:val="1"/>
        </w:numPr>
        <w:ind w:left="714" w:hanging="357"/>
        <w:jc w:val="both"/>
        <w:rPr>
          <w:rFonts w:asciiTheme="minorHAnsi" w:hAnsiTheme="minorHAnsi" w:cstheme="minorHAnsi"/>
          <w:b/>
          <w:color w:val="005024"/>
          <w:sz w:val="26"/>
          <w:szCs w:val="26"/>
        </w:rPr>
      </w:pPr>
      <w:r w:rsidRPr="0083716B">
        <w:rPr>
          <w:rFonts w:asciiTheme="minorHAnsi" w:hAnsiTheme="minorHAnsi" w:cstheme="minorHAnsi"/>
          <w:b/>
          <w:color w:val="005024"/>
          <w:sz w:val="26"/>
          <w:szCs w:val="26"/>
        </w:rPr>
        <w:t xml:space="preserve">Οδηγία της ΕΕ 2011/93/ΕΕ για την καταπολέμηση της σεξουαλικής κακοποίησης και της εκμετάλλευσης παιδιών, καθώς και της παιδικής πορνογραφίας </w:t>
      </w:r>
    </w:p>
    <w:p w:rsidR="0083716B" w:rsidRDefault="0083716B" w:rsidP="00BF41DA">
      <w:pPr>
        <w:jc w:val="both"/>
        <w:rPr>
          <w:rFonts w:asciiTheme="minorHAnsi" w:hAnsiTheme="minorHAnsi" w:cstheme="minorHAnsi"/>
          <w:sz w:val="22"/>
          <w:szCs w:val="22"/>
        </w:rPr>
      </w:pPr>
    </w:p>
    <w:p w:rsidR="00A078FF" w:rsidRPr="006267BC" w:rsidRDefault="00A078FF" w:rsidP="00BF41DA">
      <w:pPr>
        <w:jc w:val="both"/>
        <w:rPr>
          <w:rFonts w:asciiTheme="minorHAnsi" w:hAnsiTheme="minorHAnsi" w:cstheme="minorHAnsi"/>
          <w:sz w:val="22"/>
          <w:szCs w:val="22"/>
        </w:rPr>
      </w:pPr>
      <w:r w:rsidRPr="006267BC">
        <w:rPr>
          <w:rFonts w:asciiTheme="minorHAnsi" w:hAnsiTheme="minorHAnsi" w:cstheme="minorHAnsi"/>
          <w:sz w:val="22"/>
          <w:szCs w:val="22"/>
        </w:rPr>
        <w:t xml:space="preserve">Η παρούσα οδηγία περιέχει, μεταξύ άλλων, διατάξεις που αποσκοπούν στη διασφάλιση ότι κατά την πρόσληψη ενός ατόμου για επαγγελματικές ή </w:t>
      </w:r>
      <w:r w:rsidRPr="006267BC">
        <w:rPr>
          <w:rFonts w:asciiTheme="minorHAnsi" w:hAnsiTheme="minorHAnsi" w:cstheme="minorHAnsi"/>
          <w:color w:val="3C3C3C"/>
          <w:sz w:val="22"/>
          <w:szCs w:val="22"/>
          <w:shd w:val="clear" w:color="auto" w:fill="FFFFFF"/>
        </w:rPr>
        <w:t xml:space="preserve">οργανωμένες δραστηριότητες εθελοντικού χαρακτήρα που απευθύνονται σε παιδιά, θα ελέγχεται  </w:t>
      </w:r>
      <w:r w:rsidRPr="006267BC">
        <w:rPr>
          <w:rFonts w:asciiTheme="minorHAnsi" w:hAnsiTheme="minorHAnsi" w:cstheme="minorHAnsi"/>
          <w:sz w:val="22"/>
          <w:szCs w:val="22"/>
        </w:rPr>
        <w:t xml:space="preserve">το ποινικό μητρώο του αιτούντος. </w:t>
      </w:r>
    </w:p>
    <w:p w:rsidR="00A078FF" w:rsidRPr="006267BC" w:rsidRDefault="00A078FF" w:rsidP="00BF41DA">
      <w:pPr>
        <w:jc w:val="both"/>
        <w:rPr>
          <w:rFonts w:asciiTheme="minorHAnsi" w:hAnsiTheme="minorHAnsi" w:cstheme="minorHAnsi"/>
          <w:sz w:val="22"/>
          <w:szCs w:val="22"/>
        </w:rPr>
      </w:pPr>
      <w:r w:rsidRPr="006267BC">
        <w:rPr>
          <w:rFonts w:asciiTheme="minorHAnsi" w:hAnsiTheme="minorHAnsi" w:cstheme="minorHAnsi"/>
          <w:sz w:val="22"/>
          <w:szCs w:val="22"/>
        </w:rPr>
        <w:t>Βλέπε οδηγία στην ακόλουθη ιστοσελίδα:</w:t>
      </w:r>
    </w:p>
    <w:p w:rsidR="00BF41DA" w:rsidRDefault="00A078FF" w:rsidP="00BF41DA">
      <w:pPr>
        <w:jc w:val="both"/>
        <w:rPr>
          <w:rFonts w:asciiTheme="minorHAnsi" w:hAnsiTheme="minorHAnsi" w:cstheme="minorHAnsi"/>
          <w:sz w:val="22"/>
          <w:szCs w:val="22"/>
          <w:lang w:val="en-GB"/>
        </w:rPr>
      </w:pPr>
      <w:r w:rsidRPr="006267BC">
        <w:rPr>
          <w:rFonts w:asciiTheme="minorHAnsi" w:hAnsiTheme="minorHAnsi" w:cstheme="minorHAnsi"/>
          <w:sz w:val="22"/>
          <w:szCs w:val="22"/>
          <w:lang w:val="en-GB"/>
        </w:rPr>
        <w:t>http://eur-lex.europa.eu/legal-content/EN/TXT/?uri=CE LEX:32011L0093</w:t>
      </w:r>
    </w:p>
    <w:p w:rsidR="00A078FF" w:rsidRPr="00025696" w:rsidRDefault="00A078FF" w:rsidP="00A078FF">
      <w:pPr>
        <w:spacing w:line="360" w:lineRule="auto"/>
        <w:jc w:val="both"/>
        <w:rPr>
          <w:rFonts w:asciiTheme="minorHAnsi" w:hAnsiTheme="minorHAnsi" w:cstheme="minorHAnsi"/>
          <w:b/>
          <w:color w:val="005024"/>
          <w:sz w:val="26"/>
          <w:szCs w:val="26"/>
          <w:lang w:val="en-US"/>
        </w:rPr>
      </w:pPr>
    </w:p>
    <w:p w:rsidR="00A078FF" w:rsidRPr="0083716B" w:rsidRDefault="00A078FF" w:rsidP="00A078FF">
      <w:pPr>
        <w:numPr>
          <w:ilvl w:val="0"/>
          <w:numId w:val="1"/>
        </w:numPr>
        <w:spacing w:line="360" w:lineRule="auto"/>
        <w:jc w:val="both"/>
        <w:rPr>
          <w:rFonts w:asciiTheme="minorHAnsi" w:hAnsiTheme="minorHAnsi" w:cstheme="minorHAnsi"/>
          <w:b/>
          <w:color w:val="005024"/>
          <w:sz w:val="26"/>
          <w:szCs w:val="26"/>
        </w:rPr>
      </w:pPr>
      <w:r w:rsidRPr="0083716B">
        <w:rPr>
          <w:rFonts w:asciiTheme="minorHAnsi" w:hAnsiTheme="minorHAnsi" w:cstheme="minorHAnsi"/>
          <w:b/>
          <w:color w:val="005024"/>
          <w:sz w:val="26"/>
          <w:szCs w:val="26"/>
        </w:rPr>
        <w:t>Βασικές αναφορές</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UNCRC 1989 http://www.ohchr.org/EN/ProfessionalInterest/Pages/CRC.aspx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Committee on the Rights of the Child </w:t>
      </w:r>
      <w:hyperlink r:id="rId9" w:history="1">
        <w:r w:rsidRPr="00BF41DA">
          <w:rPr>
            <w:rStyle w:val="-"/>
            <w:rFonts w:asciiTheme="minorHAnsi" w:hAnsiTheme="minorHAnsi" w:cstheme="minorHAnsi"/>
            <w:sz w:val="16"/>
            <w:szCs w:val="16"/>
            <w:lang w:val="en-GB"/>
          </w:rPr>
          <w:t>http://www.ohchr.org/EN/HRBodies/CRC/Pages/CRCIntro.aspx</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The Council of Europe - Lanzarote Convention 2007 </w:t>
      </w:r>
      <w:hyperlink r:id="rId10" w:history="1">
        <w:r w:rsidRPr="00BF41DA">
          <w:rPr>
            <w:rStyle w:val="-"/>
            <w:rFonts w:asciiTheme="minorHAnsi" w:hAnsiTheme="minorHAnsi" w:cstheme="minorHAnsi"/>
            <w:sz w:val="16"/>
            <w:szCs w:val="16"/>
            <w:lang w:val="en-GB"/>
          </w:rPr>
          <w:t>http://www.coe.int/en/web/children/lanzarote-convention</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The International Safeguards for Children in Sport 2014 </w:t>
      </w:r>
      <w:hyperlink r:id="rId11" w:history="1">
        <w:r w:rsidRPr="00BF41DA">
          <w:rPr>
            <w:rStyle w:val="-"/>
            <w:rFonts w:asciiTheme="minorHAnsi" w:hAnsiTheme="minorHAnsi" w:cstheme="minorHAnsi"/>
            <w:sz w:val="16"/>
            <w:szCs w:val="16"/>
            <w:lang w:val="en-GB"/>
          </w:rPr>
          <w:t>https://www.unicef.org.uk/sport-for-development/safeguarding-in-s port/</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The Standards for Safeguarding and Protecting Children in Sport </w:t>
      </w:r>
      <w:hyperlink r:id="rId12" w:history="1">
        <w:r w:rsidRPr="00BF41DA">
          <w:rPr>
            <w:rStyle w:val="-"/>
            <w:rFonts w:asciiTheme="minorHAnsi" w:hAnsiTheme="minorHAnsi" w:cstheme="minorHAnsi"/>
            <w:sz w:val="16"/>
            <w:szCs w:val="16"/>
            <w:lang w:val="en-GB"/>
          </w:rPr>
          <w:t>https://thecpsu.org.uk/resource-library/2013/standards-for-safeguar ding-and-protecting-children-in-sport/</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The International Olympic Committee consensus statement: harassment and abuse (non-accidental violence) in sport </w:t>
      </w:r>
      <w:hyperlink r:id="rId13" w:history="1">
        <w:r w:rsidRPr="00BF41DA">
          <w:rPr>
            <w:rStyle w:val="-"/>
            <w:rFonts w:asciiTheme="minorHAnsi" w:hAnsiTheme="minorHAnsi" w:cstheme="minorHAnsi"/>
            <w:sz w:val="16"/>
            <w:szCs w:val="16"/>
            <w:lang w:val="en-GB"/>
          </w:rPr>
          <w:t>http://bjsm.bmj.com/content/bjsports/50/17/1019.full.pdf</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Safe Sport International Principles http://www.safesportinternational.com/principles/ </w:t>
      </w:r>
      <w:hyperlink r:id="rId14" w:history="1">
        <w:r w:rsidRPr="00BF41DA">
          <w:rPr>
            <w:rStyle w:val="-"/>
            <w:rFonts w:asciiTheme="minorHAnsi" w:hAnsiTheme="minorHAnsi" w:cstheme="minorHAnsi"/>
            <w:sz w:val="16"/>
            <w:szCs w:val="16"/>
            <w:lang w:val="en-GB"/>
          </w:rPr>
          <w:t>https://www.unicef.org.uk/what-we-do/un-convention-child-rights/</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Directive 2011/93/EU of the European Parliament and of the Council of 13 December 2011 on combating the sexual abuse and sexual exploitation of children and child pornography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http://eur-lex.europa.eu/legal-content/EN/TXT/HTML/?uri=CELEX:32 011L0093&amp;from=EN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The UNESCO </w:t>
      </w:r>
      <w:proofErr w:type="spellStart"/>
      <w:r w:rsidRPr="00BF41DA">
        <w:rPr>
          <w:rFonts w:asciiTheme="minorHAnsi" w:hAnsiTheme="minorHAnsi" w:cstheme="minorHAnsi"/>
          <w:sz w:val="16"/>
          <w:szCs w:val="16"/>
          <w:lang w:val="en-GB"/>
        </w:rPr>
        <w:t>Charte</w:t>
      </w:r>
      <w:proofErr w:type="spellEnd"/>
      <w:r w:rsidRPr="00BF41DA">
        <w:rPr>
          <w:rFonts w:asciiTheme="minorHAnsi" w:hAnsiTheme="minorHAnsi" w:cstheme="minorHAnsi"/>
          <w:sz w:val="16"/>
          <w:szCs w:val="16"/>
          <w:lang w:val="en-GB"/>
        </w:rPr>
        <w:t xml:space="preserve"> Internationale de </w:t>
      </w:r>
      <w:proofErr w:type="spellStart"/>
      <w:r w:rsidRPr="00BF41DA">
        <w:rPr>
          <w:rFonts w:asciiTheme="minorHAnsi" w:hAnsiTheme="minorHAnsi" w:cstheme="minorHAnsi"/>
          <w:sz w:val="16"/>
          <w:szCs w:val="16"/>
          <w:lang w:val="en-GB"/>
        </w:rPr>
        <w:t>l'Education</w:t>
      </w:r>
      <w:proofErr w:type="spellEnd"/>
      <w:r w:rsidRPr="00BF41DA">
        <w:rPr>
          <w:rFonts w:asciiTheme="minorHAnsi" w:hAnsiTheme="minorHAnsi" w:cstheme="minorHAnsi"/>
          <w:sz w:val="16"/>
          <w:szCs w:val="16"/>
          <w:lang w:val="en-GB"/>
        </w:rPr>
        <w:t xml:space="preserve"> Physique et du Sport </w:t>
      </w:r>
      <w:hyperlink r:id="rId15" w:history="1">
        <w:r w:rsidRPr="00BF41DA">
          <w:rPr>
            <w:rStyle w:val="-"/>
            <w:rFonts w:asciiTheme="minorHAnsi" w:hAnsiTheme="minorHAnsi" w:cstheme="minorHAnsi"/>
            <w:sz w:val="16"/>
            <w:szCs w:val="16"/>
            <w:lang w:val="en-GB"/>
          </w:rPr>
          <w:t>http://www.unesco.org/education/educprog/eps/EPSfrancais/EVENE MENTS/charte_internationale_de_l.htm</w:t>
        </w:r>
      </w:hyperlink>
      <w:r w:rsidRPr="00BF41DA">
        <w:rPr>
          <w:rFonts w:asciiTheme="minorHAnsi" w:hAnsiTheme="minorHAnsi" w:cstheme="minorHAnsi"/>
          <w:sz w:val="16"/>
          <w:szCs w:val="16"/>
          <w:lang w:val="en-GB"/>
        </w:rPr>
        <w:t xml:space="preserve">  </w:t>
      </w:r>
    </w:p>
    <w:p w:rsidR="00A078FF" w:rsidRPr="00BF41DA" w:rsidRDefault="00A078FF" w:rsidP="00BF41DA">
      <w:pPr>
        <w:rPr>
          <w:rFonts w:asciiTheme="minorHAnsi" w:hAnsiTheme="minorHAnsi" w:cstheme="minorHAnsi"/>
          <w:sz w:val="16"/>
          <w:szCs w:val="16"/>
          <w:lang w:val="en-GB"/>
        </w:rPr>
      </w:pPr>
      <w:r w:rsidRPr="00BF41DA">
        <w:rPr>
          <w:rFonts w:asciiTheme="minorHAnsi" w:hAnsiTheme="minorHAnsi" w:cstheme="minorHAnsi"/>
          <w:sz w:val="16"/>
          <w:szCs w:val="16"/>
          <w:lang w:val="en-GB"/>
        </w:rPr>
        <w:t xml:space="preserve">Kazan Action Plan from the Ministers meeting at the Sixth International Conference of Ministers and Senior </w:t>
      </w:r>
      <w:r w:rsidRPr="00BF41DA">
        <w:rPr>
          <w:rFonts w:asciiTheme="minorHAnsi" w:hAnsiTheme="minorHAnsi" w:cstheme="minorHAnsi"/>
          <w:sz w:val="16"/>
          <w:szCs w:val="16"/>
          <w:lang w:val="en-US"/>
        </w:rPr>
        <w:t xml:space="preserve">Officials </w:t>
      </w:r>
      <w:r w:rsidRPr="00BF41DA">
        <w:rPr>
          <w:rFonts w:asciiTheme="minorHAnsi" w:hAnsiTheme="minorHAnsi" w:cstheme="minorHAnsi"/>
          <w:sz w:val="16"/>
          <w:szCs w:val="16"/>
          <w:lang w:val="en-GB"/>
        </w:rPr>
        <w:t xml:space="preserve">Responsible for Physical Education and Sport (MINEPS VI), Kazan (13-15 July 2017), (UNESCO) </w:t>
      </w:r>
      <w:hyperlink r:id="rId16" w:history="1">
        <w:r w:rsidRPr="00BF41DA">
          <w:rPr>
            <w:rStyle w:val="-"/>
            <w:rFonts w:asciiTheme="minorHAnsi" w:hAnsiTheme="minorHAnsi" w:cstheme="minorHAnsi"/>
            <w:sz w:val="16"/>
            <w:szCs w:val="16"/>
            <w:lang w:val="en-GB"/>
          </w:rPr>
          <w:t>http://unesdoc.unesco.org/images/0025/002527/252725e.pdf</w:t>
        </w:r>
      </w:hyperlink>
    </w:p>
    <w:p w:rsidR="00EB1599" w:rsidRPr="006267BC" w:rsidRDefault="00EB1599">
      <w:pPr>
        <w:rPr>
          <w:rFonts w:asciiTheme="minorHAnsi" w:hAnsiTheme="minorHAnsi" w:cstheme="minorHAnsi"/>
          <w:sz w:val="22"/>
          <w:szCs w:val="22"/>
          <w:lang w:val="en-GB"/>
        </w:rPr>
      </w:pPr>
    </w:p>
    <w:sectPr w:rsidR="00EB1599" w:rsidRPr="006267BC" w:rsidSect="0083716B">
      <w:footerReference w:type="default" r:id="rId1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97" w:rsidRDefault="00557297" w:rsidP="0083716B">
      <w:r>
        <w:separator/>
      </w:r>
    </w:p>
  </w:endnote>
  <w:endnote w:type="continuationSeparator" w:id="0">
    <w:p w:rsidR="00557297" w:rsidRDefault="00557297" w:rsidP="0083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B" w:rsidRDefault="0083716B">
    <w:pPr>
      <w:pStyle w:val="a5"/>
    </w:pPr>
  </w:p>
  <w:p w:rsidR="0083716B" w:rsidRDefault="0083716B" w:rsidP="0083716B">
    <w:pPr>
      <w:pStyle w:val="a5"/>
      <w:jc w:val="center"/>
      <w:rPr>
        <w:rFonts w:asciiTheme="minorHAnsi" w:hAnsiTheme="minorHAnsi"/>
        <w:b/>
        <w:color w:val="000000" w:themeColor="text1"/>
        <w:sz w:val="18"/>
        <w:szCs w:val="18"/>
      </w:rPr>
    </w:pPr>
    <w:r w:rsidRPr="00B63F61">
      <w:rPr>
        <w:rFonts w:asciiTheme="minorHAnsi" w:hAnsiTheme="minorHAnsi"/>
        <w:b/>
        <w:color w:val="000000" w:themeColor="text1"/>
        <w:sz w:val="18"/>
        <w:szCs w:val="18"/>
      </w:rPr>
      <w:t>Μετάφραση: Γενική Γραμματεία Αθλητισμού</w:t>
    </w:r>
  </w:p>
  <w:p w:rsidR="0083716B" w:rsidRPr="00B63F61" w:rsidRDefault="0083716B" w:rsidP="0083716B">
    <w:pPr>
      <w:pStyle w:val="a5"/>
      <w:jc w:val="center"/>
      <w:rPr>
        <w:rFonts w:asciiTheme="minorHAnsi" w:hAnsiTheme="minorHAnsi"/>
        <w:b/>
        <w:color w:val="000000" w:themeColor="text1"/>
        <w:sz w:val="18"/>
        <w:szCs w:val="18"/>
      </w:rPr>
    </w:pPr>
    <w:r w:rsidRPr="00B63F61">
      <w:rPr>
        <w:rFonts w:asciiTheme="minorHAnsi" w:hAnsiTheme="minorHAnsi"/>
        <w:b/>
        <w:color w:val="000000" w:themeColor="text1"/>
        <w:sz w:val="18"/>
        <w:szCs w:val="18"/>
      </w:rPr>
      <w:t>Τμήμα Αθλητικής Επιστημονικής Υποστήριξης και Εκπαίδευσης,</w:t>
    </w:r>
  </w:p>
  <w:p w:rsidR="0083716B" w:rsidRPr="00B63F61" w:rsidRDefault="0083716B" w:rsidP="0083716B">
    <w:pPr>
      <w:pStyle w:val="a5"/>
      <w:jc w:val="center"/>
      <w:rPr>
        <w:rFonts w:asciiTheme="minorHAnsi" w:hAnsiTheme="minorHAnsi"/>
        <w:b/>
        <w:color w:val="000000" w:themeColor="text1"/>
        <w:sz w:val="18"/>
        <w:szCs w:val="18"/>
      </w:rPr>
    </w:pPr>
    <w:r w:rsidRPr="00B63F61">
      <w:rPr>
        <w:rFonts w:asciiTheme="minorHAnsi" w:hAnsiTheme="minorHAnsi"/>
        <w:b/>
        <w:color w:val="000000" w:themeColor="text1"/>
        <w:sz w:val="18"/>
        <w:szCs w:val="18"/>
      </w:rPr>
      <w:t>Βασιλική Μπαλτά – Νοέμβριος 2020</w:t>
    </w:r>
  </w:p>
  <w:p w:rsidR="0083716B" w:rsidRPr="00715DE2" w:rsidRDefault="0083716B" w:rsidP="0083716B">
    <w:pPr>
      <w:pStyle w:val="a5"/>
      <w:rPr>
        <w:rFonts w:asciiTheme="minorHAnsi" w:hAnsiTheme="minorHAnsi"/>
        <w:color w:val="000000" w:themeColor="text1"/>
        <w:sz w:val="18"/>
        <w:szCs w:val="18"/>
      </w:rPr>
    </w:pPr>
  </w:p>
  <w:p w:rsidR="0083716B" w:rsidRDefault="0083716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97" w:rsidRDefault="00557297" w:rsidP="0083716B">
      <w:r>
        <w:separator/>
      </w:r>
    </w:p>
  </w:footnote>
  <w:footnote w:type="continuationSeparator" w:id="0">
    <w:p w:rsidR="00557297" w:rsidRDefault="00557297" w:rsidP="008371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883"/>
    <w:multiLevelType w:val="hybridMultilevel"/>
    <w:tmpl w:val="C756C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04359C"/>
    <w:multiLevelType w:val="hybridMultilevel"/>
    <w:tmpl w:val="B47C85BC"/>
    <w:lvl w:ilvl="0" w:tplc="556A556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FF"/>
    <w:rsid w:val="00025696"/>
    <w:rsid w:val="00182E11"/>
    <w:rsid w:val="0021103C"/>
    <w:rsid w:val="002A6A1A"/>
    <w:rsid w:val="00557297"/>
    <w:rsid w:val="005B086E"/>
    <w:rsid w:val="006267BC"/>
    <w:rsid w:val="007F5499"/>
    <w:rsid w:val="0083716B"/>
    <w:rsid w:val="00A078FF"/>
    <w:rsid w:val="00B23928"/>
    <w:rsid w:val="00BB5B10"/>
    <w:rsid w:val="00BF41DA"/>
    <w:rsid w:val="00C5091C"/>
    <w:rsid w:val="00D061EF"/>
    <w:rsid w:val="00EB15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D214"/>
  <w15:chartTrackingRefBased/>
  <w15:docId w15:val="{E7680504-3FA3-4697-A3C5-58829306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078FF"/>
    <w:rPr>
      <w:color w:val="0000FF"/>
      <w:u w:val="single"/>
    </w:rPr>
  </w:style>
  <w:style w:type="paragraph" w:styleId="a3">
    <w:name w:val="List Paragraph"/>
    <w:basedOn w:val="a"/>
    <w:uiPriority w:val="34"/>
    <w:qFormat/>
    <w:rsid w:val="00A078FF"/>
    <w:pPr>
      <w:ind w:left="720"/>
    </w:pPr>
  </w:style>
  <w:style w:type="paragraph" w:styleId="a4">
    <w:name w:val="header"/>
    <w:basedOn w:val="a"/>
    <w:link w:val="Char"/>
    <w:uiPriority w:val="99"/>
    <w:unhideWhenUsed/>
    <w:rsid w:val="0083716B"/>
    <w:pPr>
      <w:tabs>
        <w:tab w:val="center" w:pos="4153"/>
        <w:tab w:val="right" w:pos="8306"/>
      </w:tabs>
    </w:pPr>
  </w:style>
  <w:style w:type="character" w:customStyle="1" w:styleId="Char">
    <w:name w:val="Κεφαλίδα Char"/>
    <w:basedOn w:val="a0"/>
    <w:link w:val="a4"/>
    <w:uiPriority w:val="99"/>
    <w:rsid w:val="0083716B"/>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83716B"/>
    <w:pPr>
      <w:tabs>
        <w:tab w:val="center" w:pos="4153"/>
        <w:tab w:val="right" w:pos="8306"/>
      </w:tabs>
    </w:pPr>
  </w:style>
  <w:style w:type="character" w:customStyle="1" w:styleId="Char0">
    <w:name w:val="Υποσέλιδο Char"/>
    <w:basedOn w:val="a0"/>
    <w:link w:val="a5"/>
    <w:uiPriority w:val="99"/>
    <w:rsid w:val="0083716B"/>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061EF"/>
    <w:rPr>
      <w:rFonts w:ascii="Segoe UI" w:hAnsi="Segoe UI" w:cs="Segoe UI"/>
      <w:sz w:val="18"/>
      <w:szCs w:val="18"/>
    </w:rPr>
  </w:style>
  <w:style w:type="character" w:customStyle="1" w:styleId="Char1">
    <w:name w:val="Κείμενο πλαισίου Char"/>
    <w:basedOn w:val="a0"/>
    <w:link w:val="a6"/>
    <w:uiPriority w:val="99"/>
    <w:semiHidden/>
    <w:rsid w:val="00D061EF"/>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ecial.gr/wp-content/uploads/2019/12/prwtokollo-dierevnisis.pdf" TargetMode="External"/><Relationship Id="rId13" Type="http://schemas.openxmlformats.org/officeDocument/2006/relationships/hyperlink" Target="http://bjsm.bmj.com/content/bjsports/50/17/1019.ful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int/en/web/children/convention" TargetMode="External"/><Relationship Id="rId12" Type="http://schemas.openxmlformats.org/officeDocument/2006/relationships/hyperlink" Target="https://thecpsu.org.uk/resource-library/2013/standards-for-safeguar%20ding-and-protecting-children-in-spo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esdoc.unesco.org/images/0025/002527/252725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sport-for-development/safeguarding-in-s%20port/" TargetMode="External"/><Relationship Id="rId5" Type="http://schemas.openxmlformats.org/officeDocument/2006/relationships/footnotes" Target="footnotes.xml"/><Relationship Id="rId15" Type="http://schemas.openxmlformats.org/officeDocument/2006/relationships/hyperlink" Target="http://www.unesco.org/education/educprog/eps/EPSfrancais/EVENE%20MENTS/charte_internationale_de_l.htm" TargetMode="External"/><Relationship Id="rId10" Type="http://schemas.openxmlformats.org/officeDocument/2006/relationships/hyperlink" Target="http://www.coe.int/en/web/children/lanzarote-conven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hchr.org/EN/HRBodies/CRC/Pages/CRCIntro.aspx" TargetMode="External"/><Relationship Id="rId14" Type="http://schemas.openxmlformats.org/officeDocument/2006/relationships/hyperlink" Target="https://www.unicef.org.uk/what-we-do/un-convention-child-rights/" TargetMode="External"/></Relationships>
</file>

<file path=word/theme/theme1.xml><?xml version="1.0" encoding="utf-8"?>
<a:theme xmlns:a="http://schemas.openxmlformats.org/drawingml/2006/main" name="Θέμα του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2086</Words>
  <Characters>11269</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nandia marinakou</dc:creator>
  <cp:keywords/>
  <dc:description/>
  <cp:lastModifiedBy>nandia marinakou</cp:lastModifiedBy>
  <cp:revision>7</cp:revision>
  <cp:lastPrinted>2020-12-29T12:33:00Z</cp:lastPrinted>
  <dcterms:created xsi:type="dcterms:W3CDTF">2020-12-29T06:34:00Z</dcterms:created>
  <dcterms:modified xsi:type="dcterms:W3CDTF">2020-12-30T10:55:00Z</dcterms:modified>
</cp:coreProperties>
</file>